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1"/>
        <w:spacing w:before="100" w:after="100"/>
        <w:jc w:val="center"/>
        <w:rPr>
          <w:sz w:val="22"/>
          <w:szCs w:val="22"/>
        </w:rPr>
      </w:pPr>
      <w:r>
        <w:rPr>
          <w:sz w:val="22"/>
          <w:szCs w:val="22"/>
        </w:rPr>
        <w:t>ДОГОВОР О ЗАДАТКЕ</w:t>
      </w:r>
    </w:p>
    <w:tbl>
      <w:tblPr>
        <w:tblW w:w="5000" w:type="pct"/>
        <w:jc w:val="left"/>
        <w:tblInd w:w="-537" w:type="dxa"/>
        <w:tblCellMar>
          <w:top w:w="15" w:type="dxa"/>
          <w:left w:w="15" w:type="dxa"/>
          <w:bottom w:w="15" w:type="dxa"/>
          <w:right w:w="15" w:type="dxa"/>
        </w:tblCellMar>
        <w:tblLook w:firstRow="1" w:noVBand="1" w:lastRow="0" w:firstColumn="1" w:lastColumn="0" w:noHBand="0" w:val="04a0"/>
      </w:tblPr>
      <w:tblGrid>
        <w:gridCol w:w="4611"/>
        <w:gridCol w:w="4743"/>
      </w:tblGrid>
      <w:tr>
        <w:trPr>
          <w:trHeight w:val="226" w:hRule="atLeast"/>
        </w:trPr>
        <w:tc>
          <w:tcPr>
            <w:tcW w:w="4611" w:type="dxa"/>
            <w:tcBorders/>
            <w:vAlign w:val="cente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г. Кострома</w:t>
            </w:r>
          </w:p>
        </w:tc>
        <w:tc>
          <w:tcPr>
            <w:tcW w:w="4743" w:type="dxa"/>
            <w:tcBorders/>
            <w:vAlign w:val="center"/>
          </w:tcPr>
          <w:p>
            <w:pPr>
              <w:pStyle w:val="Normal"/>
              <w:jc w:val="righ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«</w:t>
            </w:r>
            <w:r>
              <w:rPr>
                <w:color w:val="000000"/>
                <w:sz w:val="22"/>
                <w:szCs w:val="22"/>
                <w:lang w:val="en-US"/>
              </w:rPr>
              <w:t>__</w:t>
            </w:r>
            <w:r>
              <w:rPr>
                <w:color w:val="000000"/>
                <w:sz w:val="22"/>
                <w:szCs w:val="22"/>
              </w:rPr>
              <w:t>_</w:t>
            </w:r>
            <w:r>
              <w:rPr>
                <w:color w:val="000000"/>
                <w:sz w:val="22"/>
                <w:szCs w:val="22"/>
                <w:lang w:val="en-US"/>
              </w:rPr>
              <w:t>_</w:t>
            </w:r>
            <w:r>
              <w:rPr>
                <w:color w:val="000000"/>
                <w:sz w:val="22"/>
                <w:szCs w:val="22"/>
              </w:rPr>
              <w:t>» __________20___ г.</w:t>
            </w:r>
          </w:p>
        </w:tc>
      </w:tr>
    </w:tbl>
    <w:p>
      <w:pPr>
        <w:pStyle w:val="NormalWeb"/>
        <w:ind w:left="-567" w:firstLine="567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Web"/>
        <w:ind w:left="-567" w:firstLine="567"/>
        <w:rPr>
          <w:sz w:val="22"/>
          <w:szCs w:val="22"/>
        </w:rPr>
      </w:pPr>
      <w:r>
        <w:rPr>
          <w:sz w:val="22"/>
          <w:szCs w:val="22"/>
        </w:rPr>
        <w:t>Конкурсный управляющий Общества с ограниченной ответственност</w:t>
      </w:r>
      <w:r>
        <w:rPr>
          <w:sz w:val="22"/>
          <w:szCs w:val="22"/>
        </w:rPr>
        <w:t>ь</w:t>
      </w:r>
      <w:r>
        <w:rPr>
          <w:sz w:val="22"/>
          <w:szCs w:val="22"/>
        </w:rPr>
        <w:t xml:space="preserve">ю </w:t>
      </w:r>
      <w:r>
        <w:rPr>
          <w:bCs/>
          <w:color w:val="000000" w:themeColor="text1"/>
          <w:sz w:val="22"/>
          <w:szCs w:val="22"/>
        </w:rPr>
        <w:t>Инвестиционное строительно-проектное объединение «</w:t>
      </w:r>
      <w:r>
        <w:rPr>
          <w:bCs/>
          <w:color w:val="000000" w:themeColor="text1"/>
          <w:sz w:val="22"/>
          <w:szCs w:val="22"/>
          <w:lang w:eastAsia="ar-SA"/>
        </w:rPr>
        <w:t>Костромагорстрой»</w:t>
      </w:r>
      <w:r>
        <w:rPr>
          <w:sz w:val="22"/>
          <w:szCs w:val="22"/>
        </w:rPr>
        <w:t xml:space="preserve"> </w:t>
      </w:r>
      <w:r>
        <w:rPr>
          <w:bCs/>
          <w:color w:val="000000" w:themeColor="text1"/>
          <w:sz w:val="22"/>
          <w:szCs w:val="22"/>
        </w:rPr>
        <w:t>(ОГРН/ИНН 1024400507669/4443022963</w:t>
      </w:r>
      <w:r>
        <w:rPr>
          <w:sz w:val="22"/>
          <w:szCs w:val="22"/>
        </w:rPr>
        <w:t>, адрес:</w:t>
      </w:r>
      <w:r>
        <w:rPr>
          <w:bCs/>
          <w:color w:val="000000" w:themeColor="text1"/>
          <w:sz w:val="22"/>
          <w:szCs w:val="22"/>
        </w:rPr>
        <w:t xml:space="preserve"> </w:t>
      </w:r>
      <w:r>
        <w:rPr>
          <w:bCs/>
          <w:color w:val="000000" w:themeColor="text1"/>
          <w:sz w:val="22"/>
          <w:szCs w:val="22"/>
          <w:lang w:eastAsia="ar-SA"/>
        </w:rPr>
        <w:t>156026</w:t>
      </w:r>
      <w:r>
        <w:rPr>
          <w:bCs/>
          <w:color w:val="000000" w:themeColor="text1"/>
          <w:sz w:val="22"/>
          <w:szCs w:val="22"/>
        </w:rPr>
        <w:t xml:space="preserve">, </w:t>
      </w:r>
      <w:r>
        <w:rPr>
          <w:bCs/>
          <w:color w:val="000000" w:themeColor="text1"/>
          <w:sz w:val="22"/>
          <w:szCs w:val="22"/>
          <w:lang w:eastAsia="ar-SA"/>
        </w:rPr>
        <w:t>Костромская обл.</w:t>
      </w:r>
      <w:r>
        <w:rPr>
          <w:bCs/>
          <w:color w:val="000000" w:themeColor="text1"/>
          <w:sz w:val="22"/>
          <w:szCs w:val="22"/>
        </w:rPr>
        <w:t xml:space="preserve">, г. Кострома, ул. Гагарина, д. 21, пом. 1, ком. 44, далее - </w:t>
      </w:r>
      <w:r>
        <w:rPr>
          <w:sz w:val="22"/>
          <w:szCs w:val="22"/>
        </w:rPr>
        <w:t>ООО ИСПО «Костромагорстрой») Б</w:t>
      </w:r>
      <w:r>
        <w:rPr>
          <w:bCs/>
          <w:color w:val="000000" w:themeColor="text1"/>
          <w:sz w:val="22"/>
          <w:szCs w:val="22"/>
          <w:lang w:eastAsia="ar-SA"/>
        </w:rPr>
        <w:t>елов Максим Валериевич</w:t>
      </w:r>
      <w:r>
        <w:rPr>
          <w:bCs/>
          <w:color w:val="000000" w:themeColor="text1"/>
          <w:sz w:val="22"/>
          <w:szCs w:val="22"/>
        </w:rPr>
        <w:t xml:space="preserve"> (ИНН 502498703961, СНИЛС </w:t>
      </w:r>
      <w:r>
        <w:rPr>
          <w:bCs/>
          <w:color w:val="000000" w:themeColor="text1"/>
          <w:sz w:val="22"/>
          <w:szCs w:val="22"/>
          <w:lang w:eastAsia="ar-SA"/>
        </w:rPr>
        <w:t>057-190-386 70</w:t>
      </w:r>
      <w:r>
        <w:rPr>
          <w:bCs/>
          <w:color w:val="000000" w:themeColor="text1"/>
          <w:sz w:val="22"/>
          <w:szCs w:val="22"/>
        </w:rPr>
        <w:t>), член Союза арбитражных управляющих «Саморегулируемая организация «</w:t>
      </w:r>
      <w:r>
        <w:rPr>
          <w:bCs/>
          <w:color w:val="000000" w:themeColor="text1"/>
          <w:sz w:val="22"/>
          <w:szCs w:val="22"/>
          <w:lang w:eastAsia="ar-SA"/>
        </w:rPr>
        <w:t>Северная столица</w:t>
      </w:r>
      <w:r>
        <w:rPr>
          <w:bCs/>
          <w:color w:val="000000" w:themeColor="text1"/>
          <w:sz w:val="22"/>
          <w:szCs w:val="22"/>
        </w:rPr>
        <w:t xml:space="preserve">» (ОГРН </w:t>
      </w:r>
      <w:r>
        <w:rPr>
          <w:bCs/>
          <w:color w:val="000000" w:themeColor="text1"/>
          <w:sz w:val="22"/>
          <w:szCs w:val="22"/>
          <w:lang w:eastAsia="ar-SA"/>
        </w:rPr>
        <w:t>1027806876173</w:t>
      </w:r>
      <w:r>
        <w:rPr>
          <w:bCs/>
          <w:color w:val="000000" w:themeColor="text1"/>
          <w:sz w:val="22"/>
          <w:szCs w:val="22"/>
        </w:rPr>
        <w:t xml:space="preserve">, ИНН </w:t>
      </w:r>
      <w:r>
        <w:rPr>
          <w:bCs/>
          <w:color w:val="000000" w:themeColor="text1"/>
          <w:sz w:val="22"/>
          <w:szCs w:val="22"/>
          <w:lang w:eastAsia="ar-SA"/>
        </w:rPr>
        <w:t>7813175754,</w:t>
      </w:r>
      <w:r>
        <w:rPr>
          <w:bCs/>
          <w:color w:val="000000" w:themeColor="text1"/>
          <w:sz w:val="22"/>
          <w:szCs w:val="22"/>
        </w:rPr>
        <w:t xml:space="preserve"> адрес: </w:t>
      </w:r>
      <w:r>
        <w:rPr>
          <w:bCs/>
          <w:color w:val="000000" w:themeColor="text1"/>
          <w:sz w:val="22"/>
          <w:szCs w:val="22"/>
          <w:lang w:eastAsia="ar-SA"/>
        </w:rPr>
        <w:t>194100</w:t>
      </w:r>
      <w:r>
        <w:rPr>
          <w:bCs/>
          <w:color w:val="000000" w:themeColor="text1"/>
          <w:sz w:val="22"/>
          <w:szCs w:val="22"/>
        </w:rPr>
        <w:t>, Россия, г. Санкт-Петербург, ул. Новолитовская, д. 15 литера А)</w:t>
      </w:r>
      <w:r>
        <w:rPr>
          <w:sz w:val="22"/>
          <w:szCs w:val="22"/>
        </w:rPr>
        <w:t xml:space="preserve">, </w:t>
      </w:r>
      <w:r>
        <w:rPr>
          <w:bCs/>
          <w:color w:val="000000" w:themeColor="text1"/>
          <w:sz w:val="22"/>
          <w:szCs w:val="22"/>
        </w:rPr>
        <w:t xml:space="preserve">действующий на основании </w:t>
      </w:r>
      <w:r>
        <w:rPr>
          <w:bCs/>
          <w:color w:val="000000" w:themeColor="text1"/>
          <w:sz w:val="22"/>
          <w:szCs w:val="22"/>
          <w:lang w:eastAsia="ar-SA"/>
        </w:rPr>
        <w:t>решения</w:t>
      </w:r>
      <w:r>
        <w:rPr>
          <w:bCs/>
          <w:color w:val="000000" w:themeColor="text1"/>
          <w:sz w:val="22"/>
          <w:szCs w:val="22"/>
        </w:rPr>
        <w:t xml:space="preserve">  Арбитражного суда </w:t>
      </w:r>
      <w:r>
        <w:rPr>
          <w:bCs/>
          <w:color w:val="000000" w:themeColor="text1"/>
          <w:sz w:val="22"/>
          <w:szCs w:val="22"/>
          <w:lang w:eastAsia="ar-SA"/>
        </w:rPr>
        <w:t>Костромской области</w:t>
      </w:r>
      <w:r>
        <w:rPr>
          <w:bCs/>
          <w:color w:val="000000" w:themeColor="text1"/>
          <w:sz w:val="22"/>
          <w:szCs w:val="22"/>
        </w:rPr>
        <w:t xml:space="preserve"> по делу №А31-15503/2018 от 09.12.2019 г.</w:t>
      </w:r>
      <w:r>
        <w:rPr>
          <w:sz w:val="22"/>
          <w:szCs w:val="22"/>
        </w:rPr>
        <w:t xml:space="preserve"> далее именуемый </w:t>
      </w:r>
      <w:r>
        <w:rPr>
          <w:b/>
          <w:sz w:val="22"/>
          <w:szCs w:val="22"/>
        </w:rPr>
        <w:t>«Организатор торгов»</w:t>
      </w:r>
      <w:r>
        <w:rPr>
          <w:sz w:val="22"/>
          <w:szCs w:val="22"/>
        </w:rPr>
        <w:t>, с одной стороны, и</w:t>
      </w:r>
    </w:p>
    <w:p>
      <w:pPr>
        <w:pStyle w:val="NormalWeb"/>
        <w:ind w:left="-567" w:firstLine="567"/>
        <w:rPr>
          <w:sz w:val="22"/>
          <w:szCs w:val="22"/>
        </w:rPr>
      </w:pPr>
      <w:r>
        <w:rPr>
          <w:sz w:val="22"/>
          <w:szCs w:val="22"/>
        </w:rPr>
        <w:t xml:space="preserve">____________________________________________________, именуемое (-ый, -ая) в дальнейшем </w:t>
      </w:r>
      <w:r>
        <w:rPr>
          <w:b/>
          <w:sz w:val="22"/>
          <w:szCs w:val="22"/>
        </w:rPr>
        <w:t>«Претендент»</w:t>
      </w:r>
      <w:r>
        <w:rPr>
          <w:sz w:val="22"/>
          <w:szCs w:val="22"/>
        </w:rPr>
        <w:t>, в лице ________________, действующего на основании _______________, с другой стороны, совместно именуемые в дальнейшем «Стороны», заключили настоящий Договор, именуемый в дальнейшем «Договор», о нижеследующем.</w:t>
      </w:r>
    </w:p>
    <w:p>
      <w:pPr>
        <w:pStyle w:val="2"/>
        <w:ind w:left="-426" w:firstLine="426"/>
        <w:jc w:val="center"/>
        <w:rPr>
          <w:b w:val="false"/>
          <w:b w:val="false"/>
          <w:bCs w:val="false"/>
          <w:sz w:val="22"/>
          <w:szCs w:val="22"/>
        </w:rPr>
      </w:pPr>
      <w:r>
        <w:rPr>
          <w:b w:val="false"/>
          <w:bCs w:val="false"/>
          <w:sz w:val="22"/>
          <w:szCs w:val="22"/>
        </w:rPr>
        <w:t>1. Предмет договора</w:t>
      </w:r>
    </w:p>
    <w:p>
      <w:pPr>
        <w:pStyle w:val="NormalWeb"/>
        <w:ind w:left="-426" w:firstLine="426"/>
        <w:rPr>
          <w:sz w:val="22"/>
          <w:szCs w:val="22"/>
        </w:rPr>
      </w:pPr>
      <w:r>
        <w:rPr>
          <w:sz w:val="22"/>
          <w:szCs w:val="22"/>
        </w:rPr>
        <w:t>1.1. В соответствии с условиями настоящего Договора Претендент для участия в торгах по продаже имущества ООО ИСПО «Костромагорстрой» по лоту № ____</w:t>
      </w:r>
      <w:bookmarkStart w:id="0" w:name="_Hlk73981679"/>
      <w:bookmarkEnd w:id="0"/>
      <w:r>
        <w:rPr>
          <w:color w:val="000000"/>
          <w:sz w:val="22"/>
          <w:szCs w:val="22"/>
          <w:highlight w:val="white"/>
        </w:rPr>
        <w:t xml:space="preserve"> </w:t>
      </w:r>
      <w:r>
        <w:rPr>
          <w:sz w:val="22"/>
          <w:szCs w:val="22"/>
        </w:rPr>
        <w:t xml:space="preserve">(далее по тексту – Предмет торгов), проводимых </w:t>
      </w:r>
      <w:r>
        <w:rPr>
          <w:color w:val="000000"/>
          <w:sz w:val="22"/>
          <w:szCs w:val="22"/>
        </w:rPr>
        <w:t>на электронной торговой площадке ООО «Ру-Трейд», размещенной н</w:t>
      </w:r>
      <w:r>
        <w:rPr>
          <w:sz w:val="22"/>
          <w:szCs w:val="22"/>
        </w:rPr>
        <w:t xml:space="preserve">а сайте                      </w:t>
      </w:r>
      <w:hyperlink r:id="rId2">
        <w:r>
          <w:rPr>
            <w:color w:val="000000"/>
            <w:sz w:val="22"/>
            <w:szCs w:val="22"/>
          </w:rPr>
          <w:t>http://</w:t>
        </w:r>
      </w:hyperlink>
      <w:r>
        <w:rPr>
          <w:color w:val="000000"/>
          <w:sz w:val="22"/>
          <w:szCs w:val="22"/>
          <w:lang w:val="en-US"/>
        </w:rPr>
        <w:t>ru</w:t>
      </w:r>
      <w:r>
        <w:rPr>
          <w:color w:val="000000"/>
          <w:sz w:val="22"/>
          <w:szCs w:val="22"/>
        </w:rPr>
        <w:t>-</w:t>
      </w:r>
      <w:r>
        <w:rPr>
          <w:color w:val="000000"/>
          <w:sz w:val="22"/>
          <w:szCs w:val="22"/>
          <w:lang w:val="en-US"/>
        </w:rPr>
        <w:t>trade</w:t>
      </w:r>
      <w:r>
        <w:rPr>
          <w:color w:val="000000"/>
          <w:sz w:val="22"/>
          <w:szCs w:val="22"/>
        </w:rPr>
        <w:t>24.</w:t>
      </w:r>
      <w:r>
        <w:rPr>
          <w:color w:val="000000"/>
          <w:sz w:val="22"/>
          <w:szCs w:val="22"/>
          <w:lang w:val="en-US"/>
        </w:rPr>
        <w:t>ru</w:t>
      </w:r>
      <w:r>
        <w:rPr>
          <w:color w:val="0000FF"/>
          <w:sz w:val="22"/>
          <w:szCs w:val="22"/>
        </w:rPr>
        <w:t xml:space="preserve"> </w:t>
      </w:r>
      <w:r>
        <w:rPr>
          <w:sz w:val="22"/>
          <w:szCs w:val="22"/>
        </w:rPr>
        <w:t xml:space="preserve">в сети Интернет, перечисляет задаток в размере 10 (десять) процентов от начальной цены продажи лота, в порядке, установленном настоящим Договором. </w:t>
      </w:r>
    </w:p>
    <w:p>
      <w:pPr>
        <w:pStyle w:val="NormalWeb"/>
        <w:ind w:left="-426" w:firstLine="426"/>
        <w:rPr>
          <w:sz w:val="22"/>
          <w:szCs w:val="22"/>
        </w:rPr>
      </w:pPr>
      <w:r>
        <w:rPr>
          <w:sz w:val="22"/>
          <w:szCs w:val="22"/>
        </w:rPr>
        <w:t xml:space="preserve">1.2. Задаток вносится в обеспечение исполнения обязательств Претендента как участника торгов: по заключению договора купли-продажи имущества, являющегося Предметом торгов, в случае признания Претендента победителем торгов; по оплате указанного имущества, а также исполнения иных обязательств Претендента по договору купли-продажи, заключенного по результатам торгов. </w:t>
      </w:r>
    </w:p>
    <w:p>
      <w:pPr>
        <w:pStyle w:val="NormalWeb"/>
        <w:ind w:left="-426" w:firstLine="426"/>
        <w:rPr>
          <w:sz w:val="22"/>
          <w:szCs w:val="22"/>
        </w:rPr>
      </w:pPr>
      <w:r>
        <w:rPr>
          <w:sz w:val="22"/>
          <w:szCs w:val="22"/>
        </w:rPr>
        <w:t>1.3. В случае признания Претендента победителем торгов, задаток Претенденту не возвращается и засчитывается в счет оплаты приобретенного на торгах имущества.</w:t>
      </w:r>
    </w:p>
    <w:p>
      <w:pPr>
        <w:pStyle w:val="NormalWeb"/>
        <w:ind w:left="-426" w:firstLine="426"/>
        <w:rPr>
          <w:sz w:val="22"/>
          <w:szCs w:val="22"/>
        </w:rPr>
      </w:pPr>
      <w:r>
        <w:rPr>
          <w:sz w:val="22"/>
          <w:szCs w:val="22"/>
        </w:rPr>
        <w:t xml:space="preserve">1.4. Задаток также не возвращается в случае отказа (уклонения) Претендента, признанного победителем торгов, от заключения договора купли-продажи имущества, являющегося Предметом торгов; в случае не перечисления Претендентом денежных средств по заключенному по результатам торгов договору купли-продажи; в случае неисполнения иных обязательств Претендентом по договору купли-продажи, заключенного по результатам торгов. </w:t>
      </w:r>
    </w:p>
    <w:p>
      <w:pPr>
        <w:pStyle w:val="NormalWeb"/>
        <w:ind w:left="-426" w:firstLine="426"/>
        <w:rPr>
          <w:sz w:val="22"/>
          <w:szCs w:val="22"/>
        </w:rPr>
      </w:pPr>
      <w:r>
        <w:rPr>
          <w:sz w:val="22"/>
          <w:szCs w:val="22"/>
        </w:rPr>
        <w:t>1.5. Во всех остальных случаях задаток возвращается Претенденту в течение 5 (пяти) рабочих дней со дня подписания протокола о результатах проведения торгов.</w:t>
      </w:r>
    </w:p>
    <w:p>
      <w:pPr>
        <w:pStyle w:val="2"/>
        <w:ind w:left="-426" w:firstLine="426"/>
        <w:jc w:val="center"/>
        <w:rPr>
          <w:b w:val="false"/>
          <w:b w:val="false"/>
          <w:bCs w:val="false"/>
          <w:sz w:val="22"/>
          <w:szCs w:val="22"/>
        </w:rPr>
      </w:pPr>
      <w:r>
        <w:rPr>
          <w:b w:val="false"/>
          <w:bCs w:val="false"/>
          <w:sz w:val="22"/>
          <w:szCs w:val="22"/>
        </w:rPr>
        <w:t>2. Порядок внесения задатка</w:t>
      </w:r>
    </w:p>
    <w:p>
      <w:pPr>
        <w:pStyle w:val="NormalWeb"/>
        <w:ind w:left="-426" w:firstLine="426"/>
        <w:rPr>
          <w:sz w:val="22"/>
          <w:szCs w:val="22"/>
        </w:rPr>
      </w:pPr>
      <w:r>
        <w:rPr>
          <w:sz w:val="22"/>
          <w:szCs w:val="22"/>
        </w:rPr>
        <w:t xml:space="preserve">2.1. Задаток, внесенный Претендентом, должен поступить на расчетный счет ООО ИСПО «Костромагорстрой», указанный в разделе 4 настоящего Договора, в срок не позднее даты окончания приема заявок. В назначении платежа необходимо указать: «Задаток за участие в торгах № (указать номер торгов) по продаже имущества ООО ИСПО «Костромагорстрой» в составе лота </w:t>
        <w:br/>
        <w:t>№ (указать номер лота), без НДС»</w:t>
      </w:r>
      <w:r>
        <w:rPr>
          <w:color w:val="000000"/>
          <w:sz w:val="22"/>
          <w:szCs w:val="22"/>
          <w:highlight w:val="white"/>
        </w:rPr>
        <w:t>.</w:t>
      </w:r>
    </w:p>
    <w:p>
      <w:pPr>
        <w:pStyle w:val="NormalWeb"/>
        <w:ind w:left="-426" w:firstLine="426"/>
        <w:rPr>
          <w:sz w:val="22"/>
          <w:szCs w:val="22"/>
        </w:rPr>
      </w:pPr>
      <w:r>
        <w:rPr>
          <w:sz w:val="22"/>
          <w:szCs w:val="22"/>
        </w:rPr>
        <w:t xml:space="preserve">2.2. Обязанность Претендента по перечислению задатка считается исполненной с момента зачисления денежных средств на расчетный счет Организатора торгов в полной сумме, </w:t>
      </w:r>
      <w:r>
        <w:rPr>
          <w:sz w:val="22"/>
          <w:szCs w:val="22"/>
          <w:highlight w:val="white"/>
        </w:rPr>
        <w:t xml:space="preserve">в размере, определенном п. 1.1. настоящего Договора. </w:t>
      </w:r>
    </w:p>
    <w:p>
      <w:pPr>
        <w:pStyle w:val="NormalWeb"/>
        <w:ind w:left="-426" w:firstLine="426"/>
        <w:rPr>
          <w:sz w:val="22"/>
          <w:szCs w:val="22"/>
        </w:rPr>
      </w:pPr>
      <w:r>
        <w:rPr>
          <w:sz w:val="22"/>
          <w:szCs w:val="22"/>
        </w:rPr>
        <w:t>Стороны согласились, что единственным надлежащим документом, подтверждающим поступление денежных средств на специальный счет Должника, является выписка обслуживающего специальный счет Должника банка.</w:t>
      </w:r>
    </w:p>
    <w:p>
      <w:pPr>
        <w:pStyle w:val="NormalWeb"/>
        <w:ind w:left="-426" w:firstLine="426"/>
        <w:rPr>
          <w:sz w:val="22"/>
          <w:szCs w:val="22"/>
        </w:rPr>
      </w:pPr>
      <w:r>
        <w:rPr>
          <w:sz w:val="22"/>
          <w:szCs w:val="22"/>
        </w:rPr>
        <w:t>2.3. В случае не перечисления либо перечисления не в полном объеме суммы задатка Организатор торгов не допускает Претендента к участию в торгах, а все перечисленные денежные средства Претендентом во исполнение настоящего Договора возвращаются ему в общем порядке, установленном в п. 1.5. настоящего Договора.</w:t>
      </w:r>
    </w:p>
    <w:p>
      <w:pPr>
        <w:pStyle w:val="NormalWeb"/>
        <w:ind w:left="-426" w:firstLine="426"/>
        <w:rPr>
          <w:sz w:val="22"/>
          <w:szCs w:val="22"/>
        </w:rPr>
      </w:pPr>
      <w:r>
        <w:rPr>
          <w:sz w:val="22"/>
          <w:szCs w:val="22"/>
        </w:rPr>
        <w:t>2.4. На денежные средства, перечисленные в соответствии с настоящим Договором, проценты не начисляются.</w:t>
      </w:r>
    </w:p>
    <w:p>
      <w:pPr>
        <w:pStyle w:val="2"/>
        <w:ind w:left="-426" w:firstLine="426"/>
        <w:jc w:val="center"/>
        <w:rPr>
          <w:b w:val="false"/>
          <w:b w:val="false"/>
          <w:bCs w:val="false"/>
          <w:sz w:val="22"/>
          <w:szCs w:val="22"/>
        </w:rPr>
      </w:pPr>
      <w:r>
        <w:rPr>
          <w:b w:val="false"/>
          <w:bCs w:val="false"/>
          <w:sz w:val="22"/>
          <w:szCs w:val="22"/>
        </w:rPr>
        <w:t>3. Заключительные положения</w:t>
      </w:r>
    </w:p>
    <w:p>
      <w:pPr>
        <w:pStyle w:val="NormalWeb"/>
        <w:ind w:left="-426" w:firstLine="426"/>
        <w:rPr>
          <w:sz w:val="22"/>
          <w:szCs w:val="22"/>
        </w:rPr>
      </w:pPr>
      <w:r>
        <w:rPr>
          <w:sz w:val="22"/>
          <w:szCs w:val="22"/>
        </w:rPr>
        <w:t>3.1. Настоящий Договор считается заключенным:</w:t>
      </w:r>
    </w:p>
    <w:p>
      <w:pPr>
        <w:pStyle w:val="NormalWeb"/>
        <w:ind w:left="-426" w:firstLine="426"/>
        <w:rPr>
          <w:sz w:val="22"/>
          <w:szCs w:val="22"/>
        </w:rPr>
      </w:pPr>
      <w:r>
        <w:rPr>
          <w:sz w:val="22"/>
          <w:szCs w:val="22"/>
        </w:rPr>
        <w:t>3.1.1. С момента получения оператором электронной площадки настоящего Договора в электронной форме, подписанного электронной подписью Заявителя.</w:t>
      </w:r>
    </w:p>
    <w:p>
      <w:pPr>
        <w:pStyle w:val="NormalWeb"/>
        <w:ind w:left="-426" w:firstLine="426"/>
        <w:rPr>
          <w:sz w:val="22"/>
          <w:szCs w:val="22"/>
        </w:rPr>
      </w:pPr>
      <w:r>
        <w:rPr>
          <w:sz w:val="22"/>
          <w:szCs w:val="22"/>
        </w:rPr>
        <w:t>3.1.2. С момента поступления задатка от Заявителя на специальный счет Должника (что считается акцептом размещенного на электронной площадке настоящего договора о задатке).</w:t>
      </w:r>
    </w:p>
    <w:p>
      <w:pPr>
        <w:pStyle w:val="NormalWeb"/>
        <w:ind w:left="-426" w:firstLine="426"/>
        <w:rPr>
          <w:sz w:val="22"/>
          <w:szCs w:val="22"/>
        </w:rPr>
      </w:pPr>
      <w:r>
        <w:rPr>
          <w:sz w:val="22"/>
          <w:szCs w:val="22"/>
        </w:rPr>
        <w:t>3.2. 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рассматривает</w:t>
      </w:r>
      <w:r>
        <w:rPr>
          <w:color w:val="000000"/>
          <w:sz w:val="22"/>
          <w:szCs w:val="22"/>
        </w:rPr>
        <w:t xml:space="preserve"> Арбитражный суд Костромской области.</w:t>
      </w:r>
    </w:p>
    <w:p>
      <w:pPr>
        <w:pStyle w:val="NormalWeb"/>
        <w:ind w:left="-426" w:firstLine="426"/>
        <w:rPr>
          <w:sz w:val="22"/>
          <w:szCs w:val="22"/>
        </w:rPr>
      </w:pPr>
      <w:r>
        <w:rPr>
          <w:sz w:val="22"/>
          <w:szCs w:val="22"/>
        </w:rPr>
        <w:t>3.3. 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>
      <w:pPr>
        <w:pStyle w:val="2"/>
        <w:ind w:left="-426" w:firstLine="426"/>
        <w:jc w:val="center"/>
        <w:rPr>
          <w:b w:val="false"/>
          <w:b w:val="false"/>
          <w:bCs w:val="false"/>
          <w:sz w:val="22"/>
          <w:szCs w:val="22"/>
        </w:rPr>
      </w:pPr>
      <w:r>
        <w:rPr>
          <w:b w:val="false"/>
          <w:bCs w:val="false"/>
          <w:sz w:val="22"/>
          <w:szCs w:val="22"/>
        </w:rPr>
        <w:t>4. Реквизиты сторон</w:t>
      </w:r>
    </w:p>
    <w:tbl>
      <w:tblPr>
        <w:tblW w:w="9900" w:type="dxa"/>
        <w:jc w:val="left"/>
        <w:tblInd w:w="-346" w:type="dxa"/>
        <w:tblCellMar>
          <w:top w:w="0" w:type="dxa"/>
          <w:left w:w="40" w:type="dxa"/>
          <w:bottom w:w="0" w:type="dxa"/>
          <w:right w:w="40" w:type="dxa"/>
        </w:tblCellMar>
        <w:tblLook w:firstRow="1" w:noVBand="1" w:lastRow="0" w:firstColumn="1" w:lastColumn="0" w:noHBand="0" w:val="04a0"/>
      </w:tblPr>
      <w:tblGrid>
        <w:gridCol w:w="4488"/>
        <w:gridCol w:w="5411"/>
      </w:tblGrid>
      <w:tr>
        <w:trPr>
          <w:trHeight w:val="90" w:hRule="atLeast"/>
        </w:trPr>
        <w:tc>
          <w:tcPr>
            <w:tcW w:w="4488" w:type="dxa"/>
            <w:tcBorders/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b/>
                <w:b/>
                <w:bCs/>
                <w:color w:val="000000"/>
                <w:spacing w:val="-2"/>
                <w:sz w:val="22"/>
                <w:szCs w:val="22"/>
              </w:rPr>
            </w:pPr>
            <w:r>
              <w:rPr>
                <w:b/>
                <w:bCs/>
                <w:color w:val="000000"/>
                <w:spacing w:val="-2"/>
                <w:sz w:val="22"/>
                <w:szCs w:val="22"/>
              </w:rPr>
              <w:t>Организатор торгов</w:t>
            </w:r>
          </w:p>
        </w:tc>
        <w:tc>
          <w:tcPr>
            <w:tcW w:w="5411" w:type="dxa"/>
            <w:tcBorders/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color w:val="000000"/>
                <w:sz w:val="22"/>
                <w:szCs w:val="22"/>
                <w:lang w:eastAsia="ar-SA"/>
              </w:rPr>
            </w:pPr>
            <w:r>
              <w:rPr>
                <w:b/>
                <w:bCs/>
                <w:color w:val="000000"/>
                <w:spacing w:val="-1"/>
                <w:sz w:val="22"/>
                <w:szCs w:val="22"/>
                <w:lang w:eastAsia="ar-SA"/>
              </w:rPr>
              <w:t>Претендент</w:t>
            </w:r>
          </w:p>
        </w:tc>
      </w:tr>
      <w:tr>
        <w:trPr>
          <w:trHeight w:val="337" w:hRule="exact"/>
        </w:trPr>
        <w:tc>
          <w:tcPr>
            <w:tcW w:w="4488" w:type="dxa"/>
            <w:tcBorders/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b/>
                <w:b/>
                <w:bCs/>
                <w:color w:val="000000"/>
                <w:spacing w:val="-2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ООО </w:t>
            </w:r>
            <w:r>
              <w:rPr>
                <w:bCs/>
                <w:color w:val="000000" w:themeColor="text1"/>
                <w:sz w:val="22"/>
                <w:szCs w:val="22"/>
              </w:rPr>
              <w:t>ИСПО «</w:t>
            </w:r>
            <w:r>
              <w:rPr>
                <w:bCs/>
                <w:color w:val="000000" w:themeColor="text1"/>
                <w:sz w:val="22"/>
                <w:szCs w:val="22"/>
                <w:lang w:eastAsia="ar-SA"/>
              </w:rPr>
              <w:t>Костромагорстрой»</w:t>
            </w:r>
          </w:p>
        </w:tc>
        <w:tc>
          <w:tcPr>
            <w:tcW w:w="5411" w:type="dxa"/>
            <w:tcBorders/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b/>
                <w:b/>
                <w:bCs/>
                <w:color w:val="000000"/>
                <w:spacing w:val="-1"/>
                <w:sz w:val="22"/>
                <w:szCs w:val="22"/>
                <w:lang w:eastAsia="ar-SA"/>
              </w:rPr>
            </w:pPr>
            <w:r>
              <w:rPr>
                <w:b/>
                <w:bCs/>
                <w:color w:val="000000"/>
                <w:spacing w:val="-1"/>
                <w:sz w:val="22"/>
                <w:szCs w:val="22"/>
                <w:lang w:eastAsia="ar-SA"/>
              </w:rPr>
            </w:r>
          </w:p>
        </w:tc>
      </w:tr>
      <w:tr>
        <w:trPr>
          <w:trHeight w:val="3192" w:hRule="exact"/>
        </w:trPr>
        <w:tc>
          <w:tcPr>
            <w:tcW w:w="4488" w:type="dxa"/>
            <w:tcBorders/>
            <w:shd w:color="auto" w:fill="FFFFFF" w:val="clear"/>
          </w:tcPr>
          <w:p>
            <w:pPr>
              <w:pStyle w:val="Normal"/>
              <w:jc w:val="both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ОГРН </w:t>
            </w:r>
            <w:r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1024400507669</w:t>
            </w:r>
          </w:p>
          <w:p>
            <w:pPr>
              <w:pStyle w:val="Normal"/>
              <w:jc w:val="both"/>
              <w:rPr>
                <w:rFonts w:eastAsia="Calibri"/>
                <w:b/>
                <w:b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ИНН </w:t>
            </w:r>
            <w:r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4443022963 КПП 440101001</w:t>
            </w:r>
          </w:p>
          <w:p>
            <w:pPr>
              <w:pStyle w:val="Normal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Юридический адрес:</w:t>
            </w:r>
            <w:r>
              <w:rPr>
                <w:rFonts w:eastAsia="Calibri"/>
                <w:b/>
                <w:sz w:val="22"/>
                <w:szCs w:val="22"/>
                <w:lang w:eastAsia="en-US"/>
              </w:rPr>
              <w:t xml:space="preserve"> </w:t>
            </w:r>
            <w:r>
              <w:rPr>
                <w:color w:val="000000" w:themeColor="text1"/>
                <w:sz w:val="22"/>
                <w:szCs w:val="22"/>
                <w:lang w:eastAsia="ar-SA"/>
              </w:rPr>
              <w:t>156026</w:t>
            </w:r>
            <w:r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 xml:space="preserve">, </w:t>
            </w:r>
            <w:r>
              <w:rPr>
                <w:color w:val="000000" w:themeColor="text1"/>
                <w:sz w:val="22"/>
                <w:szCs w:val="22"/>
                <w:lang w:eastAsia="ar-SA"/>
              </w:rPr>
              <w:t>Костромская обл.</w:t>
            </w:r>
            <w:r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, г. Кострома, ул. Гагарина, д. 21, пом. 1, ком. 44</w:t>
            </w:r>
          </w:p>
          <w:p>
            <w:pPr>
              <w:pStyle w:val="Normal"/>
              <w:jc w:val="both"/>
              <w:rPr>
                <w:rFonts w:eastAsia="Calibri"/>
                <w:b/>
                <w:b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  <w:t>Реквизиты</w:t>
            </w:r>
          </w:p>
          <w:p>
            <w:pPr>
              <w:pStyle w:val="Normal"/>
              <w:jc w:val="both"/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  <w:t xml:space="preserve">Получатель </w:t>
            </w:r>
            <w:r>
              <w:rPr>
                <w:sz w:val="22"/>
                <w:szCs w:val="22"/>
              </w:rPr>
              <w:t xml:space="preserve">ООО </w:t>
            </w:r>
            <w:r>
              <w:rPr>
                <w:bCs/>
                <w:color w:val="000000" w:themeColor="text1"/>
                <w:sz w:val="22"/>
                <w:szCs w:val="22"/>
              </w:rPr>
              <w:t>ИСПО «</w:t>
            </w:r>
            <w:r>
              <w:rPr>
                <w:bCs/>
                <w:color w:val="000000" w:themeColor="text1"/>
                <w:sz w:val="22"/>
                <w:szCs w:val="22"/>
                <w:lang w:eastAsia="ar-SA"/>
              </w:rPr>
              <w:t>Костромагорстрой»</w:t>
            </w:r>
          </w:p>
          <w:p>
            <w:pPr>
              <w:pStyle w:val="Normal"/>
              <w:jc w:val="both"/>
              <w:rPr>
                <w:rFonts w:eastAsia="Calibri"/>
                <w:bCs/>
                <w:color w:val="1C1919"/>
                <w:sz w:val="22"/>
                <w:szCs w:val="22"/>
                <w:highlight w:val="white"/>
                <w:lang w:eastAsia="en-US"/>
              </w:rPr>
            </w:pPr>
            <w:r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  <w:t xml:space="preserve">р/с № 40702810429000004608 в </w:t>
            </w:r>
            <w:r>
              <w:rPr>
                <w:rFonts w:eastAsia="Calibri"/>
                <w:bCs/>
                <w:color w:val="1C1919"/>
                <w:sz w:val="22"/>
                <w:szCs w:val="22"/>
                <w:highlight w:val="white"/>
                <w:shd w:fill="FFFFFF" w:val="clear"/>
                <w:lang w:eastAsia="en-US"/>
              </w:rPr>
              <w:t xml:space="preserve">Костромском отделении №8640 ПАО Сбербанк,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к/с </w:t>
            </w:r>
            <w:r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  <w:t xml:space="preserve">30101810200000000623, </w:t>
            </w:r>
            <w:r>
              <w:rPr>
                <w:rFonts w:eastAsia="Calibri"/>
                <w:bCs/>
                <w:color w:val="1C1919"/>
                <w:sz w:val="22"/>
                <w:szCs w:val="22"/>
                <w:shd w:fill="FFFFFF" w:val="clear"/>
                <w:lang w:eastAsia="en-US"/>
              </w:rPr>
              <w:t>БИК 043469623</w:t>
            </w:r>
          </w:p>
          <w:p>
            <w:pPr>
              <w:pStyle w:val="Normal"/>
              <w:jc w:val="both"/>
              <w:rPr>
                <w:rFonts w:eastAsia="Calibri"/>
                <w:color w:val="1C1919"/>
                <w:sz w:val="22"/>
                <w:szCs w:val="22"/>
                <w:highlight w:val="white"/>
                <w:lang w:eastAsia="en-US"/>
              </w:rPr>
            </w:pPr>
            <w:r>
              <w:rPr>
                <w:rFonts w:eastAsia="Calibri"/>
                <w:color w:val="1C1919"/>
                <w:sz w:val="22"/>
                <w:szCs w:val="22"/>
                <w:highlight w:val="white"/>
                <w:lang w:eastAsia="en-US"/>
              </w:rPr>
            </w:r>
            <w:bookmarkStart w:id="1" w:name="_GoBack"/>
            <w:bookmarkStart w:id="2" w:name="_GoBack"/>
            <w:bookmarkEnd w:id="2"/>
          </w:p>
        </w:tc>
        <w:tc>
          <w:tcPr>
            <w:tcW w:w="5411" w:type="dxa"/>
            <w:tcBorders/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jc w:val="both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</w:r>
          </w:p>
        </w:tc>
      </w:tr>
      <w:tr>
        <w:trPr>
          <w:trHeight w:val="1102" w:hRule="exact"/>
        </w:trPr>
        <w:tc>
          <w:tcPr>
            <w:tcW w:w="4488" w:type="dxa"/>
            <w:tcBorders/>
            <w:shd w:color="auto" w:fill="FFFFFF" w:val="clear"/>
          </w:tcPr>
          <w:p>
            <w:pPr>
              <w:pStyle w:val="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Конкурсный управляющий</w:t>
            </w:r>
          </w:p>
          <w:p>
            <w:pPr>
              <w:pStyle w:val="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jc w:val="both"/>
              <w:rPr>
                <w:sz w:val="22"/>
                <w:szCs w:val="22"/>
              </w:rPr>
            </w:pPr>
            <w:r>
              <w:rPr>
                <w:color w:val="000000"/>
                <w:spacing w:val="-2"/>
                <w:sz w:val="22"/>
                <w:szCs w:val="22"/>
              </w:rPr>
              <w:t>_____________________________/</w:t>
            </w:r>
            <w:r>
              <w:rPr>
                <w:sz w:val="22"/>
                <w:szCs w:val="22"/>
                <w:lang w:eastAsia="ar-SA"/>
              </w:rPr>
              <w:t>Белов М.В</w:t>
            </w:r>
            <w:r>
              <w:rPr>
                <w:sz w:val="22"/>
                <w:szCs w:val="22"/>
              </w:rPr>
              <w:t>./</w:t>
            </w:r>
          </w:p>
          <w:p>
            <w:pPr>
              <w:pStyle w:val="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  <w:tc>
          <w:tcPr>
            <w:tcW w:w="5411" w:type="dxa"/>
            <w:tcBorders/>
            <w:shd w:color="auto" w:fill="FFFFFF" w:val="clear"/>
          </w:tcPr>
          <w:p>
            <w:pPr>
              <w:pStyle w:val="Normal"/>
              <w:shd w:val="clear" w:color="auto" w:fill="FFFFFF"/>
              <w:jc w:val="both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</w:r>
          </w:p>
          <w:p>
            <w:pPr>
              <w:pStyle w:val="Normal"/>
              <w:shd w:val="clear" w:color="auto" w:fill="FFFFFF"/>
              <w:jc w:val="both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</w:r>
          </w:p>
          <w:p>
            <w:pPr>
              <w:pStyle w:val="Normal"/>
              <w:shd w:val="clear" w:color="auto" w:fill="FFFFFF"/>
              <w:jc w:val="both"/>
              <w:rPr>
                <w:color w:val="000000"/>
                <w:spacing w:val="-2"/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________________________/____________________/</w:t>
            </w:r>
          </w:p>
          <w:p>
            <w:pPr>
              <w:pStyle w:val="Normal"/>
              <w:shd w:val="clear" w:color="auto" w:fill="FFFFFF"/>
              <w:snapToGrid w:val="false"/>
              <w:jc w:val="both"/>
              <w:rPr>
                <w:color w:val="000000"/>
                <w:spacing w:val="-2"/>
                <w:sz w:val="22"/>
                <w:szCs w:val="22"/>
                <w:lang w:eastAsia="ar-SA"/>
              </w:rPr>
            </w:pPr>
            <w:r>
              <w:rPr>
                <w:color w:val="000000"/>
                <w:spacing w:val="-2"/>
                <w:sz w:val="22"/>
                <w:szCs w:val="22"/>
                <w:lang w:eastAsia="ar-SA"/>
              </w:rPr>
            </w:r>
            <w:bookmarkStart w:id="3" w:name="_Hlk73981562"/>
            <w:bookmarkStart w:id="4" w:name="_Hlk73981562"/>
            <w:bookmarkEnd w:id="4"/>
          </w:p>
        </w:tc>
      </w:tr>
    </w:tbl>
    <w:p>
      <w:pPr>
        <w:pStyle w:val="Normal"/>
        <w:rPr>
          <w:sz w:val="22"/>
          <w:szCs w:val="22"/>
        </w:rPr>
      </w:pPr>
      <w:r>
        <w:rPr/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Segoe UI">
    <w:charset w:val="cc"/>
    <w:family w:val="roman"/>
    <w:pitch w:val="variable"/>
  </w:font>
  <w:font w:name="Liberation Sans">
    <w:altName w:val="Arial"/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80"/>
  <w:defaultTabStop w:val="576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rsid w:val="00c1545e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1">
    <w:name w:val="Heading 1"/>
    <w:basedOn w:val="Normal"/>
    <w:link w:val="10"/>
    <w:uiPriority w:val="9"/>
    <w:qFormat/>
    <w:rsid w:val="00c1545e"/>
    <w:pPr>
      <w:spacing w:beforeAutospacing="1" w:afterAutospacing="1"/>
      <w:outlineLvl w:val="0"/>
    </w:pPr>
    <w:rPr>
      <w:b/>
      <w:bCs/>
      <w:kern w:val="2"/>
      <w:sz w:val="40"/>
      <w:szCs w:val="40"/>
    </w:rPr>
  </w:style>
  <w:style w:type="paragraph" w:styleId="2">
    <w:name w:val="Heading 2"/>
    <w:basedOn w:val="Normal"/>
    <w:link w:val="20"/>
    <w:uiPriority w:val="9"/>
    <w:semiHidden/>
    <w:unhideWhenUsed/>
    <w:qFormat/>
    <w:rsid w:val="00c1545e"/>
    <w:pPr>
      <w:outlineLvl w:val="1"/>
    </w:pPr>
    <w:rPr>
      <w:b/>
      <w:bCs/>
      <w:sz w:val="32"/>
      <w:szCs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1" w:customStyle="1">
    <w:name w:val="Заголовок 1 Знак"/>
    <w:basedOn w:val="DefaultParagraphFont"/>
    <w:link w:val="1"/>
    <w:uiPriority w:val="9"/>
    <w:qFormat/>
    <w:rsid w:val="00c1545e"/>
    <w:rPr>
      <w:rFonts w:ascii="Times New Roman" w:hAnsi="Times New Roman" w:eastAsia="Times New Roman" w:cs="Times New Roman"/>
      <w:b/>
      <w:bCs/>
      <w:kern w:val="2"/>
      <w:sz w:val="40"/>
      <w:szCs w:val="40"/>
      <w:lang w:eastAsia="ru-RU"/>
    </w:rPr>
  </w:style>
  <w:style w:type="character" w:styleId="21" w:customStyle="1">
    <w:name w:val="Заголовок 2 Знак"/>
    <w:basedOn w:val="DefaultParagraphFont"/>
    <w:link w:val="2"/>
    <w:uiPriority w:val="9"/>
    <w:semiHidden/>
    <w:qFormat/>
    <w:rsid w:val="00c1545e"/>
    <w:rPr>
      <w:rFonts w:ascii="Times New Roman" w:hAnsi="Times New Roman" w:eastAsia="Times New Roman" w:cs="Times New Roman"/>
      <w:b/>
      <w:bCs/>
      <w:sz w:val="32"/>
      <w:szCs w:val="32"/>
      <w:lang w:eastAsia="ru-RU"/>
    </w:rPr>
  </w:style>
  <w:style w:type="character" w:styleId="Style12" w:customStyle="1">
    <w:name w:val="Интернет-ссылка"/>
    <w:rPr>
      <w:color w:val="000080"/>
      <w:u w:val="single"/>
    </w:rPr>
  </w:style>
  <w:style w:type="character" w:styleId="Style13" w:customStyle="1">
    <w:name w:val="Посещённая гиперссылка"/>
    <w:rPr>
      <w:color w:val="800000"/>
      <w:u w:val="single"/>
    </w:rPr>
  </w:style>
  <w:style w:type="character" w:styleId="Style14" w:customStyle="1">
    <w:name w:val="Текст выноски Знак"/>
    <w:basedOn w:val="DefaultParagraphFont"/>
    <w:uiPriority w:val="99"/>
    <w:semiHidden/>
    <w:qFormat/>
    <w:rsid w:val="00926c11"/>
    <w:rPr>
      <w:rFonts w:ascii="Segoe UI" w:hAnsi="Segoe UI" w:eastAsia="Times New Roman" w:cs="Segoe UI"/>
      <w:sz w:val="18"/>
      <w:szCs w:val="18"/>
      <w:lang w:eastAsia="ru-RU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567144"/>
    <w:rPr>
      <w:sz w:val="16"/>
      <w:szCs w:val="16"/>
    </w:rPr>
  </w:style>
  <w:style w:type="character" w:styleId="Style15" w:customStyle="1">
    <w:name w:val="Текст примечания Знак"/>
    <w:basedOn w:val="DefaultParagraphFont"/>
    <w:uiPriority w:val="99"/>
    <w:semiHidden/>
    <w:qFormat/>
    <w:rsid w:val="00567144"/>
    <w:rPr>
      <w:rFonts w:ascii="Times New Roman" w:hAnsi="Times New Roman" w:eastAsia="Times New Roman" w:cs="Times New Roman"/>
      <w:szCs w:val="20"/>
      <w:lang w:eastAsia="ru-RU"/>
    </w:rPr>
  </w:style>
  <w:style w:type="character" w:styleId="Style16" w:customStyle="1">
    <w:name w:val="Тема примечания Знак"/>
    <w:basedOn w:val="Style15"/>
    <w:uiPriority w:val="99"/>
    <w:semiHidden/>
    <w:qFormat/>
    <w:rsid w:val="00567144"/>
    <w:rPr>
      <w:rFonts w:ascii="Times New Roman" w:hAnsi="Times New Roman" w:eastAsia="Times New Roman" w:cs="Times New Roman"/>
      <w:b/>
      <w:bCs/>
      <w:szCs w:val="20"/>
      <w:lang w:eastAsia="ru-RU"/>
    </w:rPr>
  </w:style>
  <w:style w:type="character" w:styleId="Style17" w:customStyle="1">
    <w:name w:val="Символ сноски"/>
    <w:qFormat/>
    <w:rPr/>
  </w:style>
  <w:style w:type="character" w:styleId="Style18" w:customStyle="1">
    <w:name w:val="Привязка сноски"/>
    <w:rPr>
      <w:vertAlign w:val="superscript"/>
    </w:rPr>
  </w:style>
  <w:style w:type="paragraph" w:styleId="Style19">
    <w:name w:val="Заголовок"/>
    <w:basedOn w:val="Normal"/>
    <w:next w:val="Style20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20">
    <w:name w:val="Body Text"/>
    <w:basedOn w:val="Normal"/>
    <w:pPr>
      <w:spacing w:lineRule="auto" w:line="276" w:before="0" w:after="140"/>
    </w:pPr>
    <w:rPr/>
  </w:style>
  <w:style w:type="paragraph" w:styleId="Style21">
    <w:name w:val="List"/>
    <w:basedOn w:val="Style20"/>
    <w:pPr/>
    <w:rPr>
      <w:rFonts w:cs="Arial"/>
    </w:rPr>
  </w:style>
  <w:style w:type="paragraph" w:styleId="Style22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23">
    <w:name w:val="Указатель"/>
    <w:basedOn w:val="Normal"/>
    <w:qFormat/>
    <w:pPr>
      <w:suppressLineNumbers/>
    </w:pPr>
    <w:rPr>
      <w:rFonts w:cs="Arial"/>
    </w:rPr>
  </w:style>
  <w:style w:type="paragraph" w:styleId="Style24">
    <w:name w:val="Title"/>
    <w:basedOn w:val="Normal"/>
    <w:next w:val="Style20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Arial"/>
    </w:rPr>
  </w:style>
  <w:style w:type="paragraph" w:styleId="NormalWeb">
    <w:name w:val="Normal (Web)"/>
    <w:basedOn w:val="Normal"/>
    <w:uiPriority w:val="99"/>
    <w:semiHidden/>
    <w:unhideWhenUsed/>
    <w:qFormat/>
    <w:rsid w:val="00c1545e"/>
    <w:pPr>
      <w:jc w:val="both"/>
    </w:pPr>
    <w:rPr/>
  </w:style>
  <w:style w:type="paragraph" w:styleId="BalloonText">
    <w:name w:val="Balloon Text"/>
    <w:basedOn w:val="Normal"/>
    <w:uiPriority w:val="99"/>
    <w:semiHidden/>
    <w:unhideWhenUsed/>
    <w:qFormat/>
    <w:rsid w:val="00926c11"/>
    <w:pPr/>
    <w:rPr>
      <w:rFonts w:ascii="Segoe UI" w:hAnsi="Segoe UI" w:cs="Segoe UI"/>
      <w:sz w:val="18"/>
      <w:szCs w:val="18"/>
    </w:rPr>
  </w:style>
  <w:style w:type="paragraph" w:styleId="Annotationtext">
    <w:name w:val="annotation text"/>
    <w:basedOn w:val="Normal"/>
    <w:uiPriority w:val="99"/>
    <w:semiHidden/>
    <w:unhideWhenUsed/>
    <w:qFormat/>
    <w:rsid w:val="00567144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uiPriority w:val="99"/>
    <w:semiHidden/>
    <w:unhideWhenUsed/>
    <w:qFormat/>
    <w:rsid w:val="00567144"/>
    <w:pPr/>
    <w:rPr>
      <w:b/>
      <w:bCs/>
    </w:rPr>
  </w:style>
  <w:style w:type="paragraph" w:styleId="Western" w:customStyle="1">
    <w:name w:val="western"/>
    <w:basedOn w:val="Normal"/>
    <w:qFormat/>
    <w:rsid w:val="00567144"/>
    <w:pPr>
      <w:suppressAutoHyphens w:val="false"/>
      <w:spacing w:beforeAutospacing="1" w:afterAutospacing="1"/>
      <w:ind w:right="369" w:hanging="0"/>
      <w:jc w:val="both"/>
    </w:pPr>
    <w:rPr>
      <w:color w:val="000000"/>
    </w:rPr>
  </w:style>
  <w:style w:type="paragraph" w:styleId="Style25">
    <w:name w:val="Footnote Text"/>
    <w:basedOn w:val="Normal"/>
    <w:pPr>
      <w:suppressLineNumbers/>
      <w:ind w:left="339" w:hanging="339"/>
    </w:pPr>
    <w:rPr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&#1090;&#1086;&#1088;&#1075;&#1086;&#1074;&#1072;&#1103;-&#1087;&#1083;&#1086;&#1097;&#1072;&#1076;&#1082;&#1072;-&#1074;&#1101;&#1090;&#1087;.&#1088;&#1092;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20FB5B-DDCA-4613-9F08-B26A9A5E4E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LibreOffice/6.4.2.2$Windows_X86_64 LibreOffice_project/4e471d8c02c9c90f512f7f9ead8875b57fcb1ec3</Application>
  <Pages>2</Pages>
  <Words>624</Words>
  <Characters>4514</Characters>
  <CharactersWithSpaces>5129</CharactersWithSpaces>
  <Paragraphs>37</Paragraphs>
  <Company>SPecialiST RePack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2021-07-22T12:38:00Z</dcterms:created>
  <dc:creator>1</dc:creator>
  <dc:description/>
  <dc:language>ru-RU</dc:language>
  <cp:lastModifiedBy/>
  <cp:lastPrinted>2021-06-21T09:22:00Z</cp:lastPrinted>
  <dcterms:modified xsi:type="dcterms:W3CDTF">2021-12-23T14:20:06Z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