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</w:t>
      </w:r>
      <w:bookmarkStart w:id="0" w:name="_GoBack"/>
      <w:bookmarkEnd w:id="0"/>
      <w:r w:rsidR="00BF0C32">
        <w:t xml:space="preserve">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4470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31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zoRfwpfEPlWYJWTiH9MBwNBmBtAFZSXt/5bm5Gnr9a8=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oE4IFSveflXZ7mPOtlxI4FQVpsOHLPsBreT+ca5UKU0=</DigestValue>
    </Reference>
  </SignedInfo>
  <SignatureValue>byiuLPw+PecS6f3Xx3do7mAmpW/nEDnokVAufIvuGBXQ5CYplpJp+hK98qOysG9i
M8oq1ypbTYJaCQ6Yf3KxWg==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w+IjXSG5LOml/a9Db4OWxFdmkhc=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CCB4zot0NaaiyizL61fDz0GorzE=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uMbhzpW5GM/PBinuxgOkPIkxJh0=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2019-03-28T12:45:50Z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2019-03-28T12:45:50Z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735-A0C3-4943-BC6D-D3200D1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B92DE715</Template>
  <TotalTime>0</TotalTime>
  <Pages>4</Pages>
  <Words>806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2019-03-27T14:19:00Z</dcterms:modified>
</cp:coreProperties>
</file>