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C1C5" w14:textId="77777777" w:rsidR="004E2C11" w:rsidRDefault="00320685">
      <w:pPr>
        <w:pStyle w:val="a6"/>
        <w:rPr>
          <w:rFonts w:ascii="Arial" w:hAnsi="Arial" w:cs="Arial"/>
          <w:szCs w:val="20"/>
        </w:rPr>
      </w:pPr>
      <w:r>
        <w:rPr>
          <w:rFonts w:ascii="Arial" w:hAnsi="Arial" w:cs="Arial"/>
          <w:szCs w:val="20"/>
        </w:rPr>
        <w:t>ДОГОВОР О ЗАДАТКЕ</w:t>
      </w:r>
    </w:p>
    <w:p w14:paraId="74DD9760" w14:textId="77777777" w:rsidR="004E2C11" w:rsidRDefault="004E2C11">
      <w:pPr>
        <w:rPr>
          <w:rFonts w:ascii="Arial" w:hAnsi="Arial" w:cs="Arial"/>
          <w:sz w:val="20"/>
          <w:szCs w:val="20"/>
        </w:rPr>
      </w:pPr>
    </w:p>
    <w:p w14:paraId="740544F8" w14:textId="6DD551D9" w:rsidR="004E2C11" w:rsidRDefault="00320685">
      <w:pPr>
        <w:rPr>
          <w:rFonts w:ascii="Arial" w:hAnsi="Arial" w:cs="Arial"/>
          <w:sz w:val="20"/>
          <w:szCs w:val="20"/>
        </w:rPr>
      </w:pPr>
      <w:r>
        <w:rPr>
          <w:rFonts w:ascii="Arial" w:hAnsi="Arial" w:cs="Arial"/>
          <w:sz w:val="20"/>
          <w:szCs w:val="20"/>
        </w:rPr>
        <w:t>г. Пермь                                                                                                           ___ ______ 202</w:t>
      </w:r>
      <w:r w:rsidR="007E5BB2">
        <w:rPr>
          <w:rFonts w:ascii="Arial" w:hAnsi="Arial" w:cs="Arial"/>
          <w:sz w:val="20"/>
          <w:szCs w:val="20"/>
        </w:rPr>
        <w:t>2</w:t>
      </w:r>
      <w:r>
        <w:rPr>
          <w:rFonts w:ascii="Arial" w:hAnsi="Arial" w:cs="Arial"/>
          <w:sz w:val="20"/>
          <w:szCs w:val="20"/>
        </w:rPr>
        <w:t xml:space="preserve"> года           </w:t>
      </w:r>
    </w:p>
    <w:p w14:paraId="0933CB1E" w14:textId="77777777" w:rsidR="004E2C11" w:rsidRDefault="004E2C11">
      <w:pPr>
        <w:rPr>
          <w:rFonts w:ascii="Arial" w:hAnsi="Arial" w:cs="Arial"/>
          <w:sz w:val="20"/>
          <w:szCs w:val="20"/>
        </w:rPr>
      </w:pPr>
    </w:p>
    <w:p w14:paraId="2303FC77" w14:textId="77777777" w:rsidR="004E2C11" w:rsidRDefault="00320685">
      <w:pPr>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Конкурсный управляющий ООО «Компания СБМ» </w:t>
      </w:r>
      <w:proofErr w:type="spellStart"/>
      <w:r>
        <w:rPr>
          <w:rFonts w:ascii="Arial" w:hAnsi="Arial" w:cs="Arial"/>
          <w:b/>
          <w:sz w:val="20"/>
          <w:szCs w:val="20"/>
        </w:rPr>
        <w:t>Тифанов</w:t>
      </w:r>
      <w:proofErr w:type="spellEnd"/>
      <w:r>
        <w:rPr>
          <w:rFonts w:ascii="Arial" w:hAnsi="Arial" w:cs="Arial"/>
          <w:b/>
          <w:sz w:val="20"/>
          <w:szCs w:val="20"/>
        </w:rPr>
        <w:t xml:space="preserve"> Сергей Евгеньевич, </w:t>
      </w:r>
      <w:r>
        <w:rPr>
          <w:rFonts w:ascii="Arial" w:hAnsi="Arial" w:cs="Arial"/>
          <w:bCs/>
          <w:sz w:val="20"/>
          <w:szCs w:val="20"/>
        </w:rPr>
        <w:t>действующий на основании Определения Арбитражного суда Пермского края от 06 сентября 2018 года по делу № А50-25599/2009 и протокола собрания кредиторов от 22 июля 2020 года</w:t>
      </w:r>
      <w:r>
        <w:rPr>
          <w:rFonts w:ascii="Arial" w:hAnsi="Arial" w:cs="Arial"/>
          <w:sz w:val="20"/>
          <w:szCs w:val="20"/>
        </w:rPr>
        <w:t xml:space="preserve">, именуемый в дальнейшем «Организатор торгов», с одной стороны, </w:t>
      </w:r>
    </w:p>
    <w:p w14:paraId="6AF92E68" w14:textId="77777777" w:rsidR="004E2C11" w:rsidRDefault="00320685">
      <w:pPr>
        <w:jc w:val="both"/>
        <w:rPr>
          <w:rFonts w:ascii="Arial" w:hAnsi="Arial" w:cs="Arial"/>
          <w:sz w:val="20"/>
          <w:szCs w:val="20"/>
        </w:rPr>
      </w:pPr>
      <w:r>
        <w:rPr>
          <w:rFonts w:ascii="Arial" w:hAnsi="Arial" w:cs="Arial"/>
          <w:sz w:val="20"/>
          <w:szCs w:val="20"/>
        </w:rPr>
        <w:t xml:space="preserve">и </w:t>
      </w:r>
      <w:r>
        <w:rPr>
          <w:rFonts w:ascii="Arial" w:hAnsi="Arial" w:cs="Arial"/>
          <w:b/>
          <w:sz w:val="20"/>
          <w:szCs w:val="20"/>
        </w:rPr>
        <w:t>______________________________</w:t>
      </w:r>
      <w:r>
        <w:rPr>
          <w:rFonts w:ascii="Arial" w:hAnsi="Arial" w:cs="Arial"/>
          <w:sz w:val="20"/>
          <w:szCs w:val="20"/>
        </w:rPr>
        <w:t xml:space="preserve">, именуемое в дальнейшем «Претендент», в лице _______________________, действующей на основании ____________, с другой стороны, </w:t>
      </w:r>
    </w:p>
    <w:p w14:paraId="74762910" w14:textId="77777777" w:rsidR="004E2C11" w:rsidRDefault="00320685">
      <w:pPr>
        <w:jc w:val="both"/>
        <w:rPr>
          <w:rFonts w:ascii="Arial" w:hAnsi="Arial" w:cs="Arial"/>
          <w:sz w:val="20"/>
          <w:szCs w:val="20"/>
        </w:rPr>
      </w:pPr>
      <w:r>
        <w:rPr>
          <w:rFonts w:ascii="Arial" w:hAnsi="Arial" w:cs="Arial"/>
          <w:sz w:val="20"/>
          <w:szCs w:val="20"/>
        </w:rPr>
        <w:t>а совместно именуемые в дальнейшем «Стороны», заключили настоящий Договор о нижеследующем:</w:t>
      </w:r>
    </w:p>
    <w:p w14:paraId="7412508F" w14:textId="77777777" w:rsidR="004E2C11" w:rsidRDefault="004E2C11">
      <w:pPr>
        <w:jc w:val="both"/>
        <w:rPr>
          <w:rFonts w:ascii="Arial" w:hAnsi="Arial" w:cs="Arial"/>
          <w:sz w:val="20"/>
          <w:szCs w:val="20"/>
        </w:rPr>
      </w:pPr>
    </w:p>
    <w:p w14:paraId="7DA960A0" w14:textId="77777777" w:rsidR="004E2C11" w:rsidRDefault="00320685">
      <w:pPr>
        <w:numPr>
          <w:ilvl w:val="0"/>
          <w:numId w:val="1"/>
        </w:numPr>
        <w:jc w:val="center"/>
        <w:rPr>
          <w:rFonts w:ascii="Arial" w:hAnsi="Arial" w:cs="Arial"/>
          <w:b/>
          <w:sz w:val="20"/>
          <w:szCs w:val="20"/>
        </w:rPr>
      </w:pPr>
      <w:r>
        <w:rPr>
          <w:rFonts w:ascii="Arial" w:hAnsi="Arial" w:cs="Arial"/>
          <w:b/>
          <w:sz w:val="20"/>
          <w:szCs w:val="20"/>
        </w:rPr>
        <w:t>ПРЕДМЕТ ДОГОВОРА</w:t>
      </w:r>
    </w:p>
    <w:p w14:paraId="65ECE2DE" w14:textId="77777777" w:rsidR="004E2C11" w:rsidRDefault="004E2C11">
      <w:pPr>
        <w:jc w:val="center"/>
        <w:rPr>
          <w:rFonts w:ascii="Arial" w:hAnsi="Arial" w:cs="Arial"/>
          <w:sz w:val="20"/>
          <w:szCs w:val="20"/>
        </w:rPr>
      </w:pPr>
    </w:p>
    <w:p w14:paraId="4BC84B85" w14:textId="77777777" w:rsidR="004E2C11" w:rsidRDefault="00320685">
      <w:pPr>
        <w:numPr>
          <w:ilvl w:val="1"/>
          <w:numId w:val="2"/>
        </w:numPr>
        <w:ind w:left="0" w:firstLine="0"/>
        <w:jc w:val="both"/>
        <w:rPr>
          <w:rFonts w:ascii="Arial" w:hAnsi="Arial" w:cs="Arial"/>
          <w:sz w:val="20"/>
          <w:szCs w:val="20"/>
        </w:rPr>
      </w:pPr>
      <w:r>
        <w:rPr>
          <w:rFonts w:ascii="Arial" w:hAnsi="Arial" w:cs="Arial"/>
          <w:sz w:val="20"/>
          <w:szCs w:val="20"/>
        </w:rPr>
        <w:t xml:space="preserve"> Для участия в торгах по продаже имущества </w:t>
      </w:r>
      <w:r>
        <w:rPr>
          <w:rFonts w:ascii="Arial" w:hAnsi="Arial" w:cs="Arial"/>
          <w:b/>
          <w:sz w:val="20"/>
          <w:szCs w:val="20"/>
        </w:rPr>
        <w:t>ООО «Компания СБМ»</w:t>
      </w:r>
      <w:r>
        <w:rPr>
          <w:rFonts w:ascii="Arial" w:hAnsi="Arial" w:cs="Arial"/>
          <w:sz w:val="20"/>
          <w:szCs w:val="20"/>
        </w:rPr>
        <w:t xml:space="preserve"> (далее - Собственник), на условиях, предусмотренных информационным сообщением о проведении торгов по продаже имущества Собственника – лот № 1 (Нежилое помещение, назначение: нежилое, площадью 125,5 кв.м., этаж 1; адрес объекта: Пермский край, город Пермь, Дзержинский район, ул. Якуба Коласа проезд, д.11, кадастровый (условный) номер: 59:01:4410055:405, обременение – ипотека; Нежилое помещение, назначение: нежилое, площадью 151,6 кв.м., этаж 1; адрес объекта: Пермский край, город Пермь, Дзержинский район, ул. Якуба Коласа проезд, д.11, кадастровый (условный) номер: 59:01:4410055:350, обременение – ипотека), опубликованным в газете «Коммерсантъ» (далее – Торги), Претендент перечисляет в качестве задатка денежные средства в размере ___________ рублей (далее – Задаток), что составляет 10% от начальной цены, действующей в периоде торгов, в котором подается заявка, а Организатор торгов принимает задаток на счет по следующим реквизитам:</w:t>
      </w:r>
      <w:r>
        <w:t xml:space="preserve"> </w:t>
      </w:r>
      <w:r>
        <w:rPr>
          <w:rFonts w:ascii="Arial" w:hAnsi="Arial" w:cs="Arial"/>
          <w:sz w:val="20"/>
          <w:szCs w:val="20"/>
        </w:rPr>
        <w:t>получатель –</w:t>
      </w:r>
      <w:r>
        <w:t xml:space="preserve"> </w:t>
      </w:r>
      <w:r>
        <w:rPr>
          <w:rFonts w:ascii="Arial" w:hAnsi="Arial" w:cs="Arial"/>
          <w:sz w:val="20"/>
          <w:szCs w:val="20"/>
        </w:rPr>
        <w:t>ООО «Компания СБМ», ИНН 5905016221 КПП 590401001, р/с 40702810204000000948, в АРХАНГЕЛЬСКОМ ОТДЕЛЕНИИ №8637 ПАО СБЕРБАНК Г. АРХАНГЕЛЬСК, к/с 30101810100000000601, БИК: 041117601 (далее – Счет Организатора торгов).</w:t>
      </w:r>
    </w:p>
    <w:p w14:paraId="5E06043B" w14:textId="77777777" w:rsidR="004E2C11" w:rsidRDefault="00320685">
      <w:pPr>
        <w:numPr>
          <w:ilvl w:val="1"/>
          <w:numId w:val="2"/>
        </w:numPr>
        <w:tabs>
          <w:tab w:val="num" w:pos="0"/>
        </w:tabs>
        <w:ind w:left="0" w:firstLine="0"/>
        <w:jc w:val="both"/>
        <w:rPr>
          <w:rFonts w:ascii="Arial" w:hAnsi="Arial" w:cs="Arial"/>
          <w:sz w:val="20"/>
          <w:szCs w:val="20"/>
        </w:rPr>
      </w:pPr>
      <w:r>
        <w:rPr>
          <w:rFonts w:ascii="Arial" w:hAnsi="Arial" w:cs="Arial"/>
          <w:sz w:val="20"/>
          <w:szCs w:val="20"/>
        </w:rPr>
        <w:t>Задаток вносится Претендентом в качестве обеспечения обязательств по оплате имущества Собственника в случае признания Претендента победителем Торгов и засчитывается в счет платежа, причитающегося с Претендента в оплату приобретаемого имущества в этом же случае.</w:t>
      </w:r>
    </w:p>
    <w:p w14:paraId="27DD4040" w14:textId="77777777" w:rsidR="004E2C11" w:rsidRDefault="004E2C11">
      <w:pPr>
        <w:jc w:val="both"/>
        <w:rPr>
          <w:rFonts w:ascii="Arial" w:hAnsi="Arial" w:cs="Arial"/>
          <w:sz w:val="20"/>
          <w:szCs w:val="20"/>
        </w:rPr>
      </w:pPr>
    </w:p>
    <w:p w14:paraId="6DF6918B" w14:textId="77777777" w:rsidR="004E2C11" w:rsidRDefault="00320685">
      <w:pPr>
        <w:jc w:val="center"/>
        <w:rPr>
          <w:rFonts w:ascii="Arial" w:hAnsi="Arial" w:cs="Arial"/>
          <w:b/>
          <w:sz w:val="20"/>
          <w:szCs w:val="20"/>
        </w:rPr>
      </w:pPr>
      <w:r>
        <w:rPr>
          <w:rFonts w:ascii="Arial" w:hAnsi="Arial" w:cs="Arial"/>
          <w:b/>
          <w:sz w:val="20"/>
          <w:szCs w:val="20"/>
          <w:lang w:val="en-US"/>
        </w:rPr>
        <w:t>II</w:t>
      </w:r>
      <w:r>
        <w:rPr>
          <w:rFonts w:ascii="Arial" w:hAnsi="Arial" w:cs="Arial"/>
          <w:b/>
          <w:sz w:val="20"/>
          <w:szCs w:val="20"/>
        </w:rPr>
        <w:t>. ПОРЯДОК ВНЕСЕНИЯ ЗАДАТКА</w:t>
      </w:r>
    </w:p>
    <w:p w14:paraId="273A677A" w14:textId="77777777" w:rsidR="004E2C11" w:rsidRDefault="004E2C11">
      <w:pPr>
        <w:rPr>
          <w:rFonts w:ascii="Arial" w:hAnsi="Arial" w:cs="Arial"/>
          <w:sz w:val="20"/>
          <w:szCs w:val="20"/>
        </w:rPr>
      </w:pPr>
    </w:p>
    <w:p w14:paraId="06A06F0B" w14:textId="77777777" w:rsidR="004E2C11" w:rsidRDefault="00320685">
      <w:pPr>
        <w:jc w:val="both"/>
        <w:rPr>
          <w:rFonts w:ascii="Arial" w:hAnsi="Arial" w:cs="Arial"/>
          <w:sz w:val="20"/>
          <w:szCs w:val="20"/>
        </w:rPr>
      </w:pPr>
      <w:r>
        <w:rPr>
          <w:rFonts w:ascii="Arial" w:hAnsi="Arial" w:cs="Arial"/>
          <w:sz w:val="20"/>
          <w:szCs w:val="20"/>
        </w:rPr>
        <w:t>2.1. Денежные средства, указанные в п.1.1. настоящего Договора, должны быть перечислены Претендентом и поступить на Счет Организатора торгов не позднее окончания периода торгов, в котором подается заявка. В случае непоступления до указанного времени суммы задатка на Счет Организатора торгов, обязательства Претендента по внесению задатка считаются неисполненными, Претендент к участию в Торгах не допускается.</w:t>
      </w:r>
    </w:p>
    <w:p w14:paraId="53D0A38E" w14:textId="77777777" w:rsidR="004E2C11" w:rsidRDefault="00320685">
      <w:pPr>
        <w:jc w:val="both"/>
        <w:rPr>
          <w:rFonts w:ascii="Arial" w:hAnsi="Arial" w:cs="Arial"/>
          <w:sz w:val="20"/>
          <w:szCs w:val="20"/>
        </w:rPr>
      </w:pPr>
      <w:r>
        <w:rPr>
          <w:rFonts w:ascii="Arial" w:hAnsi="Arial" w:cs="Arial"/>
          <w:sz w:val="20"/>
          <w:szCs w:val="20"/>
        </w:rPr>
        <w:t>2.2. Претендент не вправе распоряжаться денежными средствами, поступившими на Счет Организатора торгов в качестве задатка.</w:t>
      </w:r>
    </w:p>
    <w:p w14:paraId="061F5F06" w14:textId="77777777" w:rsidR="004E2C11" w:rsidRDefault="00320685">
      <w:pPr>
        <w:jc w:val="both"/>
        <w:rPr>
          <w:rFonts w:ascii="Arial" w:hAnsi="Arial" w:cs="Arial"/>
          <w:sz w:val="20"/>
          <w:szCs w:val="20"/>
        </w:rPr>
      </w:pPr>
      <w:r>
        <w:rPr>
          <w:rFonts w:ascii="Arial" w:hAnsi="Arial" w:cs="Arial"/>
          <w:sz w:val="20"/>
          <w:szCs w:val="20"/>
        </w:rPr>
        <w:t>2.3. На денежные средства, перечисленные в соответствии с настоящим Договором, проценты не начисляются.</w:t>
      </w:r>
    </w:p>
    <w:p w14:paraId="7C8D13E3" w14:textId="77777777" w:rsidR="004E2C11" w:rsidRDefault="00320685">
      <w:pPr>
        <w:jc w:val="both"/>
        <w:rPr>
          <w:rFonts w:ascii="Arial" w:hAnsi="Arial" w:cs="Arial"/>
          <w:sz w:val="20"/>
          <w:szCs w:val="20"/>
        </w:rPr>
      </w:pPr>
      <w:r>
        <w:rPr>
          <w:rFonts w:ascii="Arial" w:hAnsi="Arial" w:cs="Arial"/>
          <w:sz w:val="20"/>
          <w:szCs w:val="20"/>
        </w:rPr>
        <w:t>2.4. Организатор торгов обязуется возвратить сумму задатка Претенденту в установленных настоящим Договором случаях в соответствии со ст.3 настоящего Договора.</w:t>
      </w:r>
    </w:p>
    <w:p w14:paraId="4B40D9D5" w14:textId="77777777" w:rsidR="004E2C11" w:rsidRDefault="00320685">
      <w:pPr>
        <w:jc w:val="both"/>
        <w:rPr>
          <w:rFonts w:ascii="Arial" w:hAnsi="Arial" w:cs="Arial"/>
          <w:sz w:val="20"/>
          <w:szCs w:val="20"/>
        </w:rPr>
      </w:pPr>
      <w:r>
        <w:rPr>
          <w:rFonts w:ascii="Arial" w:hAnsi="Arial" w:cs="Arial"/>
          <w:sz w:val="20"/>
          <w:szCs w:val="20"/>
        </w:rPr>
        <w:t>2.5. Возврат средств в соответствии со ст.3 настоящего Договора осуществляется на счет Претендента ___________________________ (</w:t>
      </w:r>
      <w:r>
        <w:rPr>
          <w:rFonts w:ascii="Arial" w:hAnsi="Arial" w:cs="Arial"/>
          <w:i/>
          <w:iCs/>
          <w:sz w:val="16"/>
          <w:szCs w:val="16"/>
        </w:rPr>
        <w:t>реквизиты заполняется Претендентом</w:t>
      </w:r>
      <w:r>
        <w:rPr>
          <w:rFonts w:ascii="Arial" w:hAnsi="Arial" w:cs="Arial"/>
          <w:sz w:val="20"/>
          <w:szCs w:val="20"/>
        </w:rPr>
        <w:t>).</w:t>
      </w:r>
    </w:p>
    <w:p w14:paraId="11F1AFA7" w14:textId="77777777" w:rsidR="004E2C11" w:rsidRDefault="004E2C11">
      <w:pPr>
        <w:jc w:val="both"/>
        <w:rPr>
          <w:rFonts w:ascii="Arial" w:hAnsi="Arial" w:cs="Arial"/>
          <w:sz w:val="20"/>
          <w:szCs w:val="20"/>
        </w:rPr>
      </w:pPr>
    </w:p>
    <w:p w14:paraId="7FEC4306" w14:textId="77777777" w:rsidR="004E2C11" w:rsidRDefault="00320685">
      <w:pPr>
        <w:jc w:val="center"/>
        <w:rPr>
          <w:rFonts w:ascii="Arial" w:hAnsi="Arial" w:cs="Arial"/>
          <w:b/>
          <w:sz w:val="20"/>
          <w:szCs w:val="20"/>
        </w:rPr>
      </w:pPr>
      <w:r>
        <w:rPr>
          <w:rFonts w:ascii="Arial" w:hAnsi="Arial" w:cs="Arial"/>
          <w:b/>
          <w:sz w:val="20"/>
          <w:szCs w:val="20"/>
          <w:lang w:val="en-US"/>
        </w:rPr>
        <w:t>III</w:t>
      </w:r>
      <w:r>
        <w:rPr>
          <w:rFonts w:ascii="Arial" w:hAnsi="Arial" w:cs="Arial"/>
          <w:b/>
          <w:sz w:val="20"/>
          <w:szCs w:val="20"/>
        </w:rPr>
        <w:t>. ПОРЯДОК ВОЗВРАТА И УДЕРЖАНИЯ ЗАДАТКА</w:t>
      </w:r>
    </w:p>
    <w:p w14:paraId="25D44793" w14:textId="77777777" w:rsidR="004E2C11" w:rsidRDefault="004E2C11">
      <w:pPr>
        <w:rPr>
          <w:rFonts w:ascii="Arial" w:hAnsi="Arial" w:cs="Arial"/>
          <w:sz w:val="20"/>
          <w:szCs w:val="20"/>
        </w:rPr>
      </w:pPr>
    </w:p>
    <w:p w14:paraId="5BCA98C2" w14:textId="77777777" w:rsidR="004E2C11" w:rsidRDefault="00320685">
      <w:pPr>
        <w:jc w:val="both"/>
        <w:rPr>
          <w:rFonts w:ascii="Arial" w:hAnsi="Arial" w:cs="Arial"/>
          <w:sz w:val="20"/>
          <w:szCs w:val="20"/>
        </w:rPr>
      </w:pPr>
      <w:r>
        <w:rPr>
          <w:rFonts w:ascii="Arial" w:hAnsi="Arial" w:cs="Arial"/>
          <w:sz w:val="20"/>
          <w:szCs w:val="20"/>
        </w:rPr>
        <w:t>3.1. В случае если Претенденту было отказано в принятии заявки на участие в Торгах, Организатор торгов обязуется возвратить задаток на счет, указанный в п.2.5. настоящего Договора, в течение 5 (пяти) дней с даты отказа в принятии заявки, проставленной Организатором торгов на описи представленных Претендентом документов.</w:t>
      </w:r>
    </w:p>
    <w:p w14:paraId="065339D3" w14:textId="77777777" w:rsidR="004E2C11" w:rsidRDefault="00320685">
      <w:pPr>
        <w:jc w:val="both"/>
        <w:rPr>
          <w:rFonts w:ascii="Arial" w:hAnsi="Arial" w:cs="Arial"/>
          <w:sz w:val="20"/>
          <w:szCs w:val="20"/>
        </w:rPr>
      </w:pPr>
      <w:r>
        <w:rPr>
          <w:rFonts w:ascii="Arial" w:hAnsi="Arial" w:cs="Arial"/>
          <w:sz w:val="20"/>
          <w:szCs w:val="20"/>
        </w:rPr>
        <w:t>3.2. В случае если Претендент не допущен к участию в Торгах, Организатор торгов обязуется возвратить задаток Претенденту путем перечисления суммы задатка на счет, указанный в п.2.5. настоящего Договора, в течение 5 (пяти) дней с даты подведения итогов Торгов.</w:t>
      </w:r>
    </w:p>
    <w:p w14:paraId="41DE03FB" w14:textId="77777777" w:rsidR="004E2C11" w:rsidRDefault="00320685">
      <w:pPr>
        <w:jc w:val="both"/>
        <w:rPr>
          <w:rFonts w:ascii="Arial" w:hAnsi="Arial" w:cs="Arial"/>
          <w:sz w:val="20"/>
          <w:szCs w:val="20"/>
        </w:rPr>
      </w:pPr>
      <w:r>
        <w:rPr>
          <w:rFonts w:ascii="Arial" w:hAnsi="Arial" w:cs="Arial"/>
          <w:sz w:val="20"/>
          <w:szCs w:val="20"/>
        </w:rPr>
        <w:t>3.3. В случае если Претендент не признан победителем Торгов, Организатор торгов обязуется перечислить сумму задатка на счет, указанный в п.2.5. настоящего Договора, в течение 5 (пяти) дней с даты подведения Организатором торгов итогов Торгов.</w:t>
      </w:r>
    </w:p>
    <w:p w14:paraId="7D4B9417" w14:textId="77777777" w:rsidR="004E2C11" w:rsidRDefault="00320685">
      <w:pPr>
        <w:jc w:val="both"/>
        <w:rPr>
          <w:rFonts w:ascii="Arial" w:hAnsi="Arial" w:cs="Arial"/>
          <w:sz w:val="20"/>
          <w:szCs w:val="20"/>
        </w:rPr>
      </w:pPr>
      <w:r>
        <w:rPr>
          <w:rFonts w:ascii="Arial" w:hAnsi="Arial" w:cs="Arial"/>
          <w:sz w:val="20"/>
          <w:szCs w:val="20"/>
        </w:rPr>
        <w:t xml:space="preserve">3.4. В случае отзыва Претендентом в установленном порядке заявки на участие в Торгах Организатор торгов обязуется возвратить задаток Претенденту на счет, указанный в п.2.5. настоящего Договора. Если Претендент отозвал заявку до даты окончания приема заявок, задаток </w:t>
      </w:r>
      <w:r>
        <w:rPr>
          <w:rFonts w:ascii="Arial" w:hAnsi="Arial" w:cs="Arial"/>
          <w:sz w:val="20"/>
          <w:szCs w:val="20"/>
        </w:rPr>
        <w:lastRenderedPageBreak/>
        <w:t>возвращается в течение 5 (пяти) дней с даты получения Организатором торгов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Торгов.</w:t>
      </w:r>
    </w:p>
    <w:p w14:paraId="577D2360" w14:textId="77777777" w:rsidR="004E2C11" w:rsidRDefault="00320685">
      <w:pPr>
        <w:jc w:val="both"/>
        <w:rPr>
          <w:rFonts w:ascii="Arial" w:hAnsi="Arial" w:cs="Arial"/>
          <w:sz w:val="20"/>
          <w:szCs w:val="20"/>
        </w:rPr>
      </w:pPr>
      <w:r>
        <w:rPr>
          <w:rFonts w:ascii="Arial" w:hAnsi="Arial" w:cs="Arial"/>
          <w:sz w:val="20"/>
          <w:szCs w:val="20"/>
        </w:rPr>
        <w:t>3.5. В случае если Претендент, признанный победителем Торгов, уклоняется или отказывается от заключения договора купли-продажи имущества Собственника в течение 5 (пяти) дней с даты подведения итогов Торгов, задаток Претенденту не возвращается, а перечисляется Собственнику.</w:t>
      </w:r>
    </w:p>
    <w:p w14:paraId="76C2FECD" w14:textId="77777777" w:rsidR="004E2C11" w:rsidRDefault="00320685">
      <w:pPr>
        <w:jc w:val="both"/>
        <w:rPr>
          <w:rFonts w:ascii="Arial" w:hAnsi="Arial" w:cs="Arial"/>
          <w:sz w:val="20"/>
          <w:szCs w:val="20"/>
        </w:rPr>
      </w:pPr>
      <w:r>
        <w:rPr>
          <w:rFonts w:ascii="Arial" w:hAnsi="Arial" w:cs="Arial"/>
          <w:sz w:val="20"/>
          <w:szCs w:val="20"/>
        </w:rPr>
        <w:t>3.6. Задаток, внесенный Претендентом, признанным победителем Торгов и заключившим с Собственником договор купли-продажи имущества, засчитывается в счет оплаты имущества и перечисляется Собственнику.</w:t>
      </w:r>
    </w:p>
    <w:p w14:paraId="31B5F203" w14:textId="77777777" w:rsidR="004E2C11" w:rsidRDefault="00320685">
      <w:pPr>
        <w:jc w:val="both"/>
        <w:rPr>
          <w:rFonts w:ascii="Arial" w:hAnsi="Arial" w:cs="Arial"/>
          <w:sz w:val="20"/>
          <w:szCs w:val="20"/>
        </w:rPr>
      </w:pPr>
      <w:r>
        <w:rPr>
          <w:rFonts w:ascii="Arial" w:hAnsi="Arial" w:cs="Arial"/>
          <w:sz w:val="20"/>
          <w:szCs w:val="20"/>
        </w:rPr>
        <w:t>3.7. В случае признания Торгов несостоявшимся Организатор торгов обязуется возвратить задаток Претенденту путем перечисления суммы задатка на указанный в п.2.5. настоящего Договора счет в течение 5 (пяти) дней с даты подведения итогов Торгов.</w:t>
      </w:r>
    </w:p>
    <w:p w14:paraId="2C123A87" w14:textId="77777777" w:rsidR="004E2C11" w:rsidRDefault="00320685">
      <w:pPr>
        <w:jc w:val="both"/>
        <w:rPr>
          <w:rFonts w:ascii="Arial" w:hAnsi="Arial" w:cs="Arial"/>
          <w:sz w:val="20"/>
          <w:szCs w:val="20"/>
        </w:rPr>
      </w:pPr>
      <w:r>
        <w:rPr>
          <w:rFonts w:ascii="Arial" w:hAnsi="Arial" w:cs="Arial"/>
          <w:sz w:val="20"/>
          <w:szCs w:val="20"/>
        </w:rPr>
        <w:t>3.8. В случае переноса сроков подведения итогов Торгов или отмены проведения Торгов Организатор торгов в течение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п.2.5. настоящего Договора.</w:t>
      </w:r>
    </w:p>
    <w:p w14:paraId="525C13ED" w14:textId="77777777" w:rsidR="004E2C11" w:rsidRDefault="00320685">
      <w:pPr>
        <w:jc w:val="both"/>
        <w:rPr>
          <w:rFonts w:ascii="Arial" w:hAnsi="Arial" w:cs="Arial"/>
          <w:sz w:val="20"/>
          <w:szCs w:val="20"/>
        </w:rPr>
      </w:pPr>
      <w:r>
        <w:rPr>
          <w:rFonts w:ascii="Arial" w:hAnsi="Arial" w:cs="Arial"/>
          <w:sz w:val="20"/>
          <w:szCs w:val="20"/>
        </w:rPr>
        <w:t>3.9. В случае неисполнения Претендентом, признанным победителем Торгов и заключившим с Собственником договор купли-продажи, обязанности по оплате имущества в соответствии с указанным договором, задаток ему не возвращается.</w:t>
      </w:r>
    </w:p>
    <w:p w14:paraId="31753E7E" w14:textId="77777777" w:rsidR="004E2C11" w:rsidRDefault="004E2C11">
      <w:pPr>
        <w:jc w:val="both"/>
        <w:rPr>
          <w:rFonts w:ascii="Arial" w:hAnsi="Arial" w:cs="Arial"/>
          <w:sz w:val="20"/>
          <w:szCs w:val="20"/>
        </w:rPr>
      </w:pPr>
    </w:p>
    <w:p w14:paraId="79EB47FA" w14:textId="77777777" w:rsidR="004E2C11" w:rsidRDefault="00320685">
      <w:pPr>
        <w:jc w:val="center"/>
        <w:rPr>
          <w:rFonts w:ascii="Arial" w:hAnsi="Arial" w:cs="Arial"/>
          <w:b/>
          <w:sz w:val="20"/>
          <w:szCs w:val="20"/>
        </w:rPr>
      </w:pPr>
      <w:r>
        <w:rPr>
          <w:rFonts w:ascii="Arial" w:hAnsi="Arial" w:cs="Arial"/>
          <w:b/>
          <w:sz w:val="20"/>
          <w:szCs w:val="20"/>
        </w:rPr>
        <w:t>IV. СРОК ДЕЙСТВИЯ ДОГОВОРА</w:t>
      </w:r>
    </w:p>
    <w:p w14:paraId="52354AB7" w14:textId="77777777" w:rsidR="004E2C11" w:rsidRDefault="004E2C11">
      <w:pPr>
        <w:jc w:val="both"/>
        <w:rPr>
          <w:rFonts w:ascii="Arial" w:hAnsi="Arial" w:cs="Arial"/>
          <w:sz w:val="20"/>
          <w:szCs w:val="20"/>
        </w:rPr>
      </w:pPr>
    </w:p>
    <w:p w14:paraId="618022EC" w14:textId="77777777" w:rsidR="004E2C11" w:rsidRDefault="00320685">
      <w:pPr>
        <w:jc w:val="both"/>
        <w:rPr>
          <w:rFonts w:ascii="Arial" w:hAnsi="Arial" w:cs="Arial"/>
          <w:sz w:val="20"/>
          <w:szCs w:val="20"/>
        </w:rPr>
      </w:pPr>
      <w:r>
        <w:rPr>
          <w:rFonts w:ascii="Arial" w:hAnsi="Arial" w:cs="Arial"/>
          <w:sz w:val="20"/>
          <w:szCs w:val="20"/>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0BC8ACC7" w14:textId="77777777" w:rsidR="004E2C11" w:rsidRDefault="00320685">
      <w:pPr>
        <w:jc w:val="both"/>
        <w:rPr>
          <w:rFonts w:ascii="Arial" w:hAnsi="Arial" w:cs="Arial"/>
          <w:sz w:val="20"/>
          <w:szCs w:val="20"/>
        </w:rPr>
      </w:pPr>
      <w:r>
        <w:rPr>
          <w:rFonts w:ascii="Arial" w:hAnsi="Arial" w:cs="Arial"/>
          <w:sz w:val="20"/>
          <w:szCs w:val="20"/>
        </w:rPr>
        <w:t>4.2. Настоящий Договор вступает в силу с момента его подписания Сторонами электронными цифровыми подписями и прекращает свое действие:</w:t>
      </w:r>
    </w:p>
    <w:p w14:paraId="2C98F721" w14:textId="77777777" w:rsidR="004E2C11" w:rsidRDefault="00320685">
      <w:pPr>
        <w:jc w:val="both"/>
        <w:rPr>
          <w:rFonts w:ascii="Arial" w:hAnsi="Arial" w:cs="Arial"/>
          <w:sz w:val="20"/>
          <w:szCs w:val="20"/>
        </w:rPr>
      </w:pPr>
      <w:r>
        <w:rPr>
          <w:rFonts w:ascii="Arial" w:hAnsi="Arial" w:cs="Arial"/>
          <w:sz w:val="20"/>
          <w:szCs w:val="20"/>
        </w:rPr>
        <w:t>- исполнением Сторонами своих обязательств по настоящему Договору,</w:t>
      </w:r>
    </w:p>
    <w:p w14:paraId="034D869B" w14:textId="77777777" w:rsidR="004E2C11" w:rsidRDefault="00320685">
      <w:pPr>
        <w:jc w:val="both"/>
        <w:rPr>
          <w:rFonts w:ascii="Arial" w:hAnsi="Arial" w:cs="Arial"/>
          <w:sz w:val="20"/>
          <w:szCs w:val="20"/>
        </w:rPr>
      </w:pPr>
      <w:r>
        <w:rPr>
          <w:rFonts w:ascii="Arial" w:hAnsi="Arial" w:cs="Arial"/>
          <w:sz w:val="20"/>
          <w:szCs w:val="20"/>
        </w:rPr>
        <w:t>- при возврате или невозврате задатка или зачете его в счет оплаты имущества Собственника в предусмотренных настоящим Договором случаях,</w:t>
      </w:r>
    </w:p>
    <w:p w14:paraId="5031A513" w14:textId="77777777" w:rsidR="004E2C11" w:rsidRDefault="00320685">
      <w:pPr>
        <w:jc w:val="both"/>
        <w:rPr>
          <w:rFonts w:ascii="Arial" w:hAnsi="Arial" w:cs="Arial"/>
          <w:sz w:val="20"/>
          <w:szCs w:val="20"/>
        </w:rPr>
      </w:pPr>
      <w:r>
        <w:rPr>
          <w:rFonts w:ascii="Arial" w:hAnsi="Arial" w:cs="Arial"/>
          <w:sz w:val="20"/>
          <w:szCs w:val="20"/>
        </w:rPr>
        <w:t>- по иным основаниям, предусмотренным действующим законодательством Российской Федерации.</w:t>
      </w:r>
    </w:p>
    <w:p w14:paraId="1B96AFA9" w14:textId="77777777" w:rsidR="004E2C11" w:rsidRDefault="00320685">
      <w:pPr>
        <w:jc w:val="both"/>
        <w:rPr>
          <w:rFonts w:ascii="Arial" w:hAnsi="Arial" w:cs="Arial"/>
          <w:sz w:val="20"/>
          <w:szCs w:val="20"/>
        </w:rPr>
      </w:pPr>
      <w:r>
        <w:rPr>
          <w:rFonts w:ascii="Arial" w:hAnsi="Arial" w:cs="Arial"/>
          <w:sz w:val="20"/>
          <w:szCs w:val="20"/>
        </w:rPr>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Пермского края или судов общей юрисдикции в соответствии с действующим законодательством Российской Федерации.</w:t>
      </w:r>
    </w:p>
    <w:p w14:paraId="7EDDA422" w14:textId="77777777" w:rsidR="004E2C11" w:rsidRDefault="00320685">
      <w:pPr>
        <w:jc w:val="both"/>
        <w:rPr>
          <w:rFonts w:ascii="Arial" w:hAnsi="Arial" w:cs="Arial"/>
          <w:sz w:val="20"/>
          <w:szCs w:val="20"/>
        </w:rPr>
      </w:pPr>
      <w:r>
        <w:rPr>
          <w:rFonts w:ascii="Arial" w:hAnsi="Arial" w:cs="Arial"/>
          <w:sz w:val="20"/>
          <w:szCs w:val="20"/>
        </w:rPr>
        <w:t>4.4. Настоящий Договор составлен в двух аутентичных экземплярах, по одному для каждой из Сторон.</w:t>
      </w:r>
    </w:p>
    <w:p w14:paraId="17EE9FF8" w14:textId="77777777" w:rsidR="004E2C11" w:rsidRDefault="004E2C11">
      <w:pPr>
        <w:jc w:val="both"/>
        <w:rPr>
          <w:rFonts w:ascii="Arial" w:hAnsi="Arial" w:cs="Arial"/>
          <w:sz w:val="20"/>
          <w:szCs w:val="20"/>
        </w:rPr>
      </w:pPr>
    </w:p>
    <w:p w14:paraId="387BAB0F" w14:textId="77777777" w:rsidR="004E2C11" w:rsidRDefault="00320685">
      <w:pPr>
        <w:jc w:val="center"/>
        <w:rPr>
          <w:rFonts w:ascii="Arial" w:hAnsi="Arial" w:cs="Arial"/>
          <w:b/>
          <w:sz w:val="20"/>
          <w:szCs w:val="20"/>
        </w:rPr>
      </w:pPr>
      <w:r>
        <w:rPr>
          <w:rFonts w:ascii="Arial" w:hAnsi="Arial" w:cs="Arial"/>
          <w:b/>
          <w:sz w:val="20"/>
          <w:szCs w:val="20"/>
        </w:rPr>
        <w:t>V. РЕКВИЗИТЫ СТОРОН</w:t>
      </w:r>
    </w:p>
    <w:p w14:paraId="7B5E409A" w14:textId="77777777" w:rsidR="004E2C11" w:rsidRDefault="00320685">
      <w:pPr>
        <w:jc w:val="both"/>
        <w:rPr>
          <w:rFonts w:ascii="Arial" w:hAnsi="Arial" w:cs="Arial"/>
          <w:sz w:val="20"/>
          <w:szCs w:val="20"/>
        </w:rPr>
      </w:pPr>
      <w:r>
        <w:rPr>
          <w:rFonts w:ascii="Arial" w:hAnsi="Arial" w:cs="Arial"/>
          <w:sz w:val="20"/>
          <w:szCs w:val="20"/>
        </w:rPr>
        <w:t xml:space="preserve">            </w:t>
      </w:r>
    </w:p>
    <w:p w14:paraId="69E15232" w14:textId="77777777" w:rsidR="004E2C11" w:rsidRDefault="00320685">
      <w:pPr>
        <w:jc w:val="both"/>
        <w:rPr>
          <w:rFonts w:ascii="Arial" w:hAnsi="Arial" w:cs="Arial"/>
          <w:b/>
          <w:sz w:val="20"/>
          <w:szCs w:val="20"/>
        </w:rPr>
      </w:pPr>
      <w:r>
        <w:rPr>
          <w:rFonts w:ascii="Arial" w:hAnsi="Arial" w:cs="Arial"/>
          <w:b/>
          <w:sz w:val="20"/>
          <w:szCs w:val="20"/>
        </w:rPr>
        <w:t>Организатор торгов                                                            Претендент</w:t>
      </w:r>
    </w:p>
    <w:tbl>
      <w:tblPr>
        <w:tblW w:w="0" w:type="auto"/>
        <w:tblLayout w:type="fixed"/>
        <w:tblLook w:val="0000" w:firstRow="0" w:lastRow="0" w:firstColumn="0" w:lastColumn="0" w:noHBand="0" w:noVBand="0"/>
      </w:tblPr>
      <w:tblGrid>
        <w:gridCol w:w="4960"/>
        <w:gridCol w:w="4508"/>
      </w:tblGrid>
      <w:tr w:rsidR="004E2C11" w14:paraId="50270599" w14:textId="77777777">
        <w:tc>
          <w:tcPr>
            <w:tcW w:w="4960" w:type="dxa"/>
            <w:shd w:val="clear" w:color="auto" w:fill="auto"/>
          </w:tcPr>
          <w:p w14:paraId="041B4AEB" w14:textId="77777777" w:rsidR="004E2C11" w:rsidRDefault="004E2C11">
            <w:pPr>
              <w:pStyle w:val="25"/>
              <w:rPr>
                <w:rFonts w:ascii="Arial" w:hAnsi="Arial" w:cs="Arial"/>
                <w:sz w:val="20"/>
              </w:rPr>
            </w:pPr>
          </w:p>
          <w:p w14:paraId="2615CB6D" w14:textId="77777777" w:rsidR="004E2C11" w:rsidRDefault="00320685">
            <w:pPr>
              <w:pStyle w:val="25"/>
              <w:jc w:val="left"/>
              <w:rPr>
                <w:rFonts w:ascii="Arial" w:hAnsi="Arial" w:cs="Arial"/>
                <w:sz w:val="20"/>
              </w:rPr>
            </w:pPr>
            <w:r>
              <w:rPr>
                <w:rFonts w:ascii="Arial" w:hAnsi="Arial" w:cs="Arial"/>
                <w:sz w:val="20"/>
              </w:rPr>
              <w:t>Конкурсный управляющий</w:t>
            </w:r>
          </w:p>
          <w:p w14:paraId="2D29D4F6" w14:textId="77777777" w:rsidR="004E2C11" w:rsidRDefault="00320685">
            <w:pPr>
              <w:pStyle w:val="25"/>
              <w:jc w:val="left"/>
              <w:rPr>
                <w:rFonts w:ascii="Arial" w:hAnsi="Arial" w:cs="Arial"/>
                <w:sz w:val="20"/>
              </w:rPr>
            </w:pPr>
            <w:proofErr w:type="spellStart"/>
            <w:r>
              <w:rPr>
                <w:rFonts w:ascii="Arial" w:hAnsi="Arial" w:cs="Arial"/>
                <w:sz w:val="20"/>
              </w:rPr>
              <w:t>Тифанов</w:t>
            </w:r>
            <w:proofErr w:type="spellEnd"/>
            <w:r>
              <w:rPr>
                <w:rFonts w:ascii="Arial" w:hAnsi="Arial" w:cs="Arial"/>
                <w:sz w:val="20"/>
              </w:rPr>
              <w:t xml:space="preserve"> Сергей Евгеньевич</w:t>
            </w:r>
          </w:p>
          <w:p w14:paraId="38DBBC55" w14:textId="77777777" w:rsidR="004E2C11" w:rsidRDefault="004E2C11">
            <w:pPr>
              <w:pStyle w:val="25"/>
              <w:tabs>
                <w:tab w:val="left" w:pos="3885"/>
              </w:tabs>
              <w:jc w:val="left"/>
              <w:rPr>
                <w:rFonts w:ascii="Arial" w:hAnsi="Arial" w:cs="Arial"/>
                <w:b w:val="0"/>
                <w:sz w:val="20"/>
              </w:rPr>
            </w:pPr>
          </w:p>
          <w:p w14:paraId="60D4CFFC" w14:textId="77777777" w:rsidR="004E2C11" w:rsidRDefault="00320685">
            <w:pPr>
              <w:pStyle w:val="25"/>
              <w:tabs>
                <w:tab w:val="left" w:pos="3885"/>
              </w:tabs>
              <w:jc w:val="left"/>
              <w:rPr>
                <w:rFonts w:ascii="Arial" w:hAnsi="Arial" w:cs="Arial"/>
                <w:b w:val="0"/>
                <w:sz w:val="20"/>
              </w:rPr>
            </w:pPr>
            <w:r>
              <w:rPr>
                <w:rFonts w:ascii="Arial" w:hAnsi="Arial" w:cs="Arial"/>
                <w:b w:val="0"/>
                <w:sz w:val="20"/>
              </w:rPr>
              <w:t xml:space="preserve">ООО «Компания СБМ», ИНН 5905016221 КПП 590401001, р/с 40702810204000000948, в АРХАНГЕЛЬСКОМ ОТДЕЛЕНИИ №8637 ПАО СБЕРБАНК Г. АРХАНГЕЛЬСК, </w:t>
            </w:r>
          </w:p>
          <w:p w14:paraId="5F3BDED8" w14:textId="77777777" w:rsidR="004E2C11" w:rsidRDefault="00320685">
            <w:pPr>
              <w:pStyle w:val="25"/>
              <w:tabs>
                <w:tab w:val="left" w:pos="3885"/>
              </w:tabs>
              <w:jc w:val="left"/>
              <w:rPr>
                <w:rFonts w:ascii="Arial" w:hAnsi="Arial" w:cs="Arial"/>
                <w:sz w:val="20"/>
              </w:rPr>
            </w:pPr>
            <w:r>
              <w:rPr>
                <w:rFonts w:ascii="Arial" w:hAnsi="Arial" w:cs="Arial"/>
                <w:b w:val="0"/>
                <w:sz w:val="20"/>
              </w:rPr>
              <w:t>к/с 30101810100000000601, БИК: 041117601</w:t>
            </w:r>
            <w:r>
              <w:rPr>
                <w:rFonts w:ascii="Arial" w:hAnsi="Arial" w:cs="Arial"/>
                <w:sz w:val="20"/>
              </w:rPr>
              <w:t xml:space="preserve">  </w:t>
            </w:r>
          </w:p>
          <w:p w14:paraId="16E0FEAE" w14:textId="77777777" w:rsidR="004E2C11" w:rsidRDefault="004E2C11">
            <w:pPr>
              <w:pStyle w:val="25"/>
              <w:tabs>
                <w:tab w:val="left" w:pos="3885"/>
              </w:tabs>
              <w:jc w:val="left"/>
              <w:rPr>
                <w:rFonts w:ascii="Arial" w:hAnsi="Arial" w:cs="Arial"/>
                <w:sz w:val="20"/>
              </w:rPr>
            </w:pPr>
          </w:p>
          <w:p w14:paraId="50971680" w14:textId="77777777" w:rsidR="004E2C11" w:rsidRDefault="00320685">
            <w:pPr>
              <w:pStyle w:val="25"/>
              <w:tabs>
                <w:tab w:val="left" w:pos="3885"/>
              </w:tabs>
              <w:jc w:val="left"/>
              <w:rPr>
                <w:rFonts w:ascii="Arial" w:hAnsi="Arial" w:cs="Arial"/>
                <w:sz w:val="20"/>
              </w:rPr>
            </w:pPr>
            <w:r>
              <w:rPr>
                <w:rFonts w:ascii="Arial" w:hAnsi="Arial" w:cs="Arial"/>
                <w:sz w:val="20"/>
              </w:rPr>
              <w:t xml:space="preserve">                       С.Е. </w:t>
            </w:r>
            <w:proofErr w:type="spellStart"/>
            <w:r>
              <w:rPr>
                <w:rFonts w:ascii="Arial" w:hAnsi="Arial" w:cs="Arial"/>
                <w:sz w:val="20"/>
              </w:rPr>
              <w:t>Тифанов</w:t>
            </w:r>
            <w:proofErr w:type="spellEnd"/>
            <w:r>
              <w:rPr>
                <w:rFonts w:ascii="Arial" w:hAnsi="Arial" w:cs="Arial"/>
                <w:sz w:val="20"/>
              </w:rPr>
              <w:t xml:space="preserve"> </w:t>
            </w:r>
          </w:p>
        </w:tc>
        <w:tc>
          <w:tcPr>
            <w:tcW w:w="4508" w:type="dxa"/>
            <w:shd w:val="clear" w:color="auto" w:fill="auto"/>
          </w:tcPr>
          <w:p w14:paraId="4F471CAB" w14:textId="77777777" w:rsidR="004E2C11" w:rsidRDefault="004E2C11">
            <w:pPr>
              <w:pStyle w:val="25"/>
              <w:jc w:val="left"/>
              <w:rPr>
                <w:rFonts w:ascii="Arial" w:hAnsi="Arial" w:cs="Arial"/>
                <w:sz w:val="20"/>
              </w:rPr>
            </w:pPr>
          </w:p>
          <w:p w14:paraId="7623A2BC" w14:textId="77777777" w:rsidR="004E2C11" w:rsidRDefault="004E2C11">
            <w:pPr>
              <w:pStyle w:val="25"/>
              <w:jc w:val="left"/>
              <w:rPr>
                <w:rFonts w:ascii="Arial" w:hAnsi="Arial" w:cs="Arial"/>
                <w:sz w:val="20"/>
              </w:rPr>
            </w:pPr>
          </w:p>
        </w:tc>
      </w:tr>
    </w:tbl>
    <w:p w14:paraId="040EAFCD" w14:textId="77777777" w:rsidR="004E2C11" w:rsidRDefault="004E2C11">
      <w:pPr>
        <w:jc w:val="right"/>
        <w:rPr>
          <w:rFonts w:ascii="Arial" w:hAnsi="Arial" w:cs="Arial"/>
          <w:sz w:val="20"/>
          <w:szCs w:val="20"/>
        </w:rPr>
      </w:pPr>
    </w:p>
    <w:p w14:paraId="427B108F" w14:textId="77777777" w:rsidR="004E2C11" w:rsidRDefault="004E2C11">
      <w:pPr>
        <w:rPr>
          <w:rFonts w:ascii="Arial" w:hAnsi="Arial" w:cs="Arial"/>
          <w:sz w:val="20"/>
          <w:szCs w:val="20"/>
        </w:rPr>
      </w:pPr>
    </w:p>
    <w:p w14:paraId="06370390" w14:textId="77777777" w:rsidR="004E2C11" w:rsidRDefault="00320685">
      <w:pPr>
        <w:ind w:firstLine="708"/>
        <w:rPr>
          <w:rFonts w:ascii="Arial" w:hAnsi="Arial" w:cs="Arial"/>
          <w:sz w:val="20"/>
          <w:szCs w:val="20"/>
        </w:rPr>
      </w:pPr>
      <w:r>
        <w:rPr>
          <w:rFonts w:ascii="Arial" w:hAnsi="Arial" w:cs="Arial"/>
          <w:sz w:val="20"/>
          <w:szCs w:val="20"/>
        </w:rPr>
        <w:t>Документ подписывается электронной подписью Организатора торгов в соответствии с п.10, ст.110 Федерального закона от 26.10.2002 N 127-ФЗ «О несостоятельности (банкротстве)» и в соответствии с п.3.2. Приложения № 1 к Приказу Минэкономразвития России от 23 июля 2015 г. № 495.</w:t>
      </w:r>
    </w:p>
    <w:p w14:paraId="079054FA" w14:textId="77777777" w:rsidR="004E2C11" w:rsidRDefault="00320685">
      <w:pPr>
        <w:rPr>
          <w:rFonts w:ascii="Arial" w:hAnsi="Arial" w:cs="Arial"/>
          <w:sz w:val="20"/>
          <w:szCs w:val="20"/>
        </w:rPr>
      </w:pPr>
      <w:r>
        <w:rPr>
          <w:rFonts w:ascii="Arial" w:hAnsi="Arial" w:cs="Arial"/>
          <w:sz w:val="20"/>
          <w:szCs w:val="20"/>
        </w:rPr>
        <w:tab/>
        <w:t>Документ подлежит подписанию электронной подписью Заявителя в случае представления настоящего договора Заявителем для участия в торгах, в соответствии с п.4.4. Приложения № 1 к Приказу Минэкономразвития России от 23 июля 2015 г. № 495.</w:t>
      </w:r>
    </w:p>
    <w:sectPr w:rsidR="004E2C11">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C54C" w14:textId="77777777" w:rsidR="00AD23C4" w:rsidRDefault="00AD23C4">
      <w:r>
        <w:separator/>
      </w:r>
    </w:p>
  </w:endnote>
  <w:endnote w:type="continuationSeparator" w:id="0">
    <w:p w14:paraId="29C1E671" w14:textId="77777777" w:rsidR="00AD23C4" w:rsidRDefault="00AD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590E" w14:textId="77777777" w:rsidR="00AD23C4" w:rsidRDefault="00AD23C4">
      <w:r>
        <w:separator/>
      </w:r>
    </w:p>
  </w:footnote>
  <w:footnote w:type="continuationSeparator" w:id="0">
    <w:p w14:paraId="3AB5A464" w14:textId="77777777" w:rsidR="00AD23C4" w:rsidRDefault="00AD2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D3D"/>
    <w:multiLevelType w:val="hybridMultilevel"/>
    <w:tmpl w:val="12C45330"/>
    <w:lvl w:ilvl="0" w:tplc="BC3499C2">
      <w:start w:val="1"/>
      <w:numFmt w:val="upperRoman"/>
      <w:lvlText w:val="%1."/>
      <w:lvlJc w:val="left"/>
      <w:pPr>
        <w:tabs>
          <w:tab w:val="num" w:pos="720"/>
        </w:tabs>
        <w:ind w:left="720" w:hanging="720"/>
      </w:pPr>
    </w:lvl>
    <w:lvl w:ilvl="1" w:tplc="1C5A30F0">
      <w:start w:val="1"/>
      <w:numFmt w:val="bullet"/>
      <w:lvlText w:val="o"/>
      <w:lvlJc w:val="left"/>
      <w:pPr>
        <w:ind w:left="1440" w:hanging="360"/>
      </w:pPr>
      <w:rPr>
        <w:rFonts w:ascii="Courier New" w:eastAsia="Courier New" w:hAnsi="Courier New" w:cs="Courier New" w:hint="default"/>
      </w:rPr>
    </w:lvl>
    <w:lvl w:ilvl="2" w:tplc="C50008AC">
      <w:start w:val="1"/>
      <w:numFmt w:val="bullet"/>
      <w:lvlText w:val="§"/>
      <w:lvlJc w:val="left"/>
      <w:pPr>
        <w:ind w:left="2160" w:hanging="360"/>
      </w:pPr>
      <w:rPr>
        <w:rFonts w:ascii="Wingdings" w:eastAsia="Wingdings" w:hAnsi="Wingdings" w:cs="Wingdings" w:hint="default"/>
      </w:rPr>
    </w:lvl>
    <w:lvl w:ilvl="3" w:tplc="20501F28">
      <w:start w:val="1"/>
      <w:numFmt w:val="bullet"/>
      <w:lvlText w:val="·"/>
      <w:lvlJc w:val="left"/>
      <w:pPr>
        <w:ind w:left="2880" w:hanging="360"/>
      </w:pPr>
      <w:rPr>
        <w:rFonts w:ascii="Symbol" w:eastAsia="Symbol" w:hAnsi="Symbol" w:cs="Symbol" w:hint="default"/>
      </w:rPr>
    </w:lvl>
    <w:lvl w:ilvl="4" w:tplc="8E329E8E">
      <w:start w:val="1"/>
      <w:numFmt w:val="bullet"/>
      <w:lvlText w:val="o"/>
      <w:lvlJc w:val="left"/>
      <w:pPr>
        <w:ind w:left="3600" w:hanging="360"/>
      </w:pPr>
      <w:rPr>
        <w:rFonts w:ascii="Courier New" w:eastAsia="Courier New" w:hAnsi="Courier New" w:cs="Courier New" w:hint="default"/>
      </w:rPr>
    </w:lvl>
    <w:lvl w:ilvl="5" w:tplc="50682136">
      <w:start w:val="1"/>
      <w:numFmt w:val="bullet"/>
      <w:lvlText w:val="§"/>
      <w:lvlJc w:val="left"/>
      <w:pPr>
        <w:ind w:left="4320" w:hanging="360"/>
      </w:pPr>
      <w:rPr>
        <w:rFonts w:ascii="Wingdings" w:eastAsia="Wingdings" w:hAnsi="Wingdings" w:cs="Wingdings" w:hint="default"/>
      </w:rPr>
    </w:lvl>
    <w:lvl w:ilvl="6" w:tplc="5C2A3926">
      <w:start w:val="1"/>
      <w:numFmt w:val="bullet"/>
      <w:lvlText w:val="·"/>
      <w:lvlJc w:val="left"/>
      <w:pPr>
        <w:ind w:left="5040" w:hanging="360"/>
      </w:pPr>
      <w:rPr>
        <w:rFonts w:ascii="Symbol" w:eastAsia="Symbol" w:hAnsi="Symbol" w:cs="Symbol" w:hint="default"/>
      </w:rPr>
    </w:lvl>
    <w:lvl w:ilvl="7" w:tplc="CDA4C02C">
      <w:start w:val="1"/>
      <w:numFmt w:val="bullet"/>
      <w:lvlText w:val="o"/>
      <w:lvlJc w:val="left"/>
      <w:pPr>
        <w:ind w:left="5760" w:hanging="360"/>
      </w:pPr>
      <w:rPr>
        <w:rFonts w:ascii="Courier New" w:eastAsia="Courier New" w:hAnsi="Courier New" w:cs="Courier New" w:hint="default"/>
      </w:rPr>
    </w:lvl>
    <w:lvl w:ilvl="8" w:tplc="0D20FB5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40180B86"/>
    <w:multiLevelType w:val="multilevel"/>
    <w:tmpl w:val="69D692E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912661344">
    <w:abstractNumId w:val="0"/>
    <w:lvlOverride w:ilvl="0">
      <w:startOverride w:val="1"/>
    </w:lvlOverride>
  </w:num>
  <w:num w:numId="2" w16cid:durableId="1789355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2C11"/>
    <w:rsid w:val="00320685"/>
    <w:rsid w:val="004E2C11"/>
    <w:rsid w:val="005F3D6D"/>
    <w:rsid w:val="007E5BB2"/>
    <w:rsid w:val="00AD2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D830"/>
  <w15:docId w15:val="{68FF2DAF-AAFE-4189-A7F7-2906CA36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a5">
    <w:name w:val="Заголовок Знак"/>
    <w:basedOn w:val="a0"/>
    <w:link w:val="a6"/>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6">
    <w:name w:val="Title"/>
    <w:basedOn w:val="a"/>
    <w:link w:val="a5"/>
    <w:qFormat/>
    <w:pPr>
      <w:jc w:val="center"/>
    </w:pPr>
    <w:rPr>
      <w:b/>
      <w:sz w:val="20"/>
    </w:rPr>
  </w:style>
  <w:style w:type="paragraph" w:styleId="25">
    <w:name w:val="Body Text 2"/>
    <w:basedOn w:val="a"/>
    <w:pPr>
      <w:jc w:val="center"/>
    </w:pPr>
    <w:rPr>
      <w:b/>
      <w:bCs/>
      <w:sz w:val="28"/>
      <w:szCs w:val="20"/>
    </w:rPr>
  </w:style>
  <w:style w:type="paragraph" w:customStyle="1" w:styleId="ConsNormal">
    <w:name w:val="ConsNormal"/>
    <w:pPr>
      <w:widowControl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R0EJsoUEDT+E5bDReoE+JqaByRVtJfzf2sc2DG8W2eM=</DigestValue>
    </Reference>
    <Reference URI="#idOfficeObject" Type="http://www.w3.org/2000/09/xmldsig#Object">
      <DigestMethod Algorithm="urn:ietf:params:xml:ns:cpxmlsec:algorithms:gostr34112012-256"/>
      <DigestValue>rbDykM27lyaIvEm6ZtJnjg4kXNW4lKGzAP83OTKJMfg=</DigestValue>
    </Reference>
    <Reference URI="#idSignedProperties" Type="http://uri.etsi.org/01903#SignedProperties">
      <Transforms>
        <Transform Algorithm="http://www.w3.org/TR/2001/REC-xml-c14n-20010315"/>
      </Transforms>
      <DigestMethod Algorithm="urn:ietf:params:xml:ns:cpxmlsec:algorithms:gostr34112012-256"/>
      <DigestValue>ul9DvhW1azRJjlQtmrLHy/l1sfqcZYojAyi0jgGuBB0=</DigestValue>
    </Reference>
  </SignedInfo>
  <SignatureValue>3ZJaGhtlx3f6ZptIYiyTTDuYS3FTLiVV2mU05knN1OS6n34YLdgohCRMJGwZogvw
a7oiQ+rKRFW1tKHpfzggKQ==</SignatureValue>
  <KeyInfo>
    <X509Data>
      <X509Certificate>MIILWTCCCwagAwIBAgIRAWNQzQBcrvuXSLg0rFkkY70wCgYIKoUDBwEBAwIwggGA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</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aQ5M6lO9N2QKzC3OKqDGXEGKhCw=</DigestValue>
      </Reference>
      <Reference URI="/word/document.xml?ContentType=application/vnd.openxmlformats-officedocument.wordprocessingml.document.main+xml">
        <DigestMethod Algorithm="http://www.w3.org/2000/09/xmldsig#sha1"/>
        <DigestValue>EL2VWe3E8BGdiVoF7BiW8291GJ8=</DigestValue>
      </Reference>
      <Reference URI="/word/endnotes.xml?ContentType=application/vnd.openxmlformats-officedocument.wordprocessingml.endnotes+xml">
        <DigestMethod Algorithm="http://www.w3.org/2000/09/xmldsig#sha1"/>
        <DigestValue>vW7OcjGOaFXpyf8dUXc0JVteMqk=</DigestValue>
      </Reference>
      <Reference URI="/word/fontTable.xml?ContentType=application/vnd.openxmlformats-officedocument.wordprocessingml.fontTable+xml">
        <DigestMethod Algorithm="http://www.w3.org/2000/09/xmldsig#sha1"/>
        <DigestValue>x9rFh4RHoEO/zFpQTeqGnfuXRYY=</DigestValue>
      </Reference>
      <Reference URI="/word/footnotes.xml?ContentType=application/vnd.openxmlformats-officedocument.wordprocessingml.footnotes+xml">
        <DigestMethod Algorithm="http://www.w3.org/2000/09/xmldsig#sha1"/>
        <DigestValue>4qTRCzT3E/dST7qZyKgSHPvjpUk=</DigestValue>
      </Reference>
      <Reference URI="/word/numbering.xml?ContentType=application/vnd.openxmlformats-officedocument.wordprocessingml.numbering+xml">
        <DigestMethod Algorithm="http://www.w3.org/2000/09/xmldsig#sha1"/>
        <DigestValue>mxZrKmfyLExJeqr0QoSM+KCpGG4=</DigestValue>
      </Reference>
      <Reference URI="/word/settings.xml?ContentType=application/vnd.openxmlformats-officedocument.wordprocessingml.settings+xml">
        <DigestMethod Algorithm="http://www.w3.org/2000/09/xmldsig#sha1"/>
        <DigestValue>jWuRaasftx6OLg/A+b3zspJBztE=</DigestValue>
      </Reference>
      <Reference URI="/word/styles.xml?ContentType=application/vnd.openxmlformats-officedocument.wordprocessingml.styles+xml">
        <DigestMethod Algorithm="http://www.w3.org/2000/09/xmldsig#sha1"/>
        <DigestValue>0HTBBW+U+WPszcTQ0BgKk/gKc84=</DigestValue>
      </Reference>
      <Reference URI="/word/theme/theme1.xml?ContentType=application/vnd.openxmlformats-officedocument.theme+xml">
        <DigestMethod Algorithm="http://www.w3.org/2000/09/xmldsig#sha1"/>
        <DigestValue>4icL5K5POk8MF2kauZa41cJkGPk=</DigestValue>
      </Reference>
      <Reference URI="/word/webSettings.xml?ContentType=application/vnd.openxmlformats-officedocument.wordprocessingml.webSettings+xml">
        <DigestMethod Algorithm="http://www.w3.org/2000/09/xmldsig#sha1"/>
        <DigestValue>Kgiwav/zfYUa5a8LJG+7LqTH3i8=</DigestValue>
      </Reference>
    </Manifest>
    <SignatureProperties>
      <SignatureProperty Id="idSignatureTime" Target="#idPackageSignature">
        <mdssi:SignatureTime>
          <mdssi:Format>YYYY-MM-DDThh:mm:ssTZD</mdssi:Format>
          <mdssi:Value>2022-04-06T13:19:22Z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2022-04-06T13:19:22Z</xd:SigningTime>
          <xd:SigningCertificate>
            <xd:Cert>
              <xd:CertDigest>
                <DigestMethod Algorithm="http://www.w3.org/2000/09/xmldsig#sha1"/>
                <DigestValue>r/Nlh3B+fk7OyV16w4u+56fEchE=</DigestValue>
              </xd:CertDigest>
              <xd:IssuerSerial>
                <X509IssuerName>CN="ООО ""КОМПАНИЯ ""ТЕНЗОР""", O="ООО ""КОМПАНИЯ ""ТЕНЗОР""", OU=Удостоверяющий центр, STREET="проспект Московский, д.12", L=г. Ярославль, S=Ярославская область, C=RU, ОГРН=1027600787994, E=ca_tensor@tensor.ru, ИНН ЮЛ=7605016030</X509IssuerName>
                <X509SerialNumber>472295480174980831784433098583823377341</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1205</Words>
  <Characters>6873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acbk</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subject/>
  <dc:creator/>
  <cp:keywords/>
  <dc:description/>
  <cp:lastModifiedBy>Сергей Карасев</cp:lastModifiedBy>
  <cp:revision>1</cp:revision>
  <dcterms:created xsi:type="dcterms:W3CDTF">2021-01-15T13:52:00Z</dcterms:created>
  <dcterms:modified xsi:type="dcterms:W3CDTF">2022-04-04T12:21:00Z</dcterms:modified>
</cp:coreProperties>
</file>