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9B6211">
              <w:rPr>
                <w:szCs w:val="24"/>
              </w:rPr>
              <w:t>7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 w:rsidR="0042331D"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r w:rsidR="006B3826" w:rsidRPr="006B3826">
        <w:t>Алахов</w:t>
      </w:r>
      <w:r w:rsidR="006B3826">
        <w:t>а</w:t>
      </w:r>
      <w:r w:rsidR="006B3826" w:rsidRPr="006B3826">
        <w:t xml:space="preserve"> Денис</w:t>
      </w:r>
      <w:r w:rsidR="006B3826">
        <w:t>а</w:t>
      </w:r>
      <w:r w:rsidR="006B3826" w:rsidRPr="006B3826">
        <w:t xml:space="preserve"> Юльевич</w:t>
      </w:r>
      <w:r w:rsidR="006B3826">
        <w:t>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>ются 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«Техсоюз»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обремененного </w:t>
      </w:r>
      <w:r w:rsidR="002D2FE2" w:rsidRPr="002D2FE2">
        <w:t>залогом в пользу ООО «</w:t>
      </w:r>
      <w:r w:rsidR="00843352">
        <w:t xml:space="preserve">Артфлэш» </w:t>
      </w:r>
      <w:r w:rsidR="00843352" w:rsidRPr="00843352">
        <w:t>(ИНН 7813188496, ОГРН 1037828057145, адрес: 196084, г. Санкт-Петербур</w:t>
      </w:r>
      <w:r w:rsidR="00843352">
        <w:t>г, ул. Смоленская, д.9, лит. А)</w:t>
      </w:r>
      <w:r w:rsidR="002D2FE2">
        <w:t xml:space="preserve"> </w:t>
      </w:r>
      <w:r w:rsidR="00837F44">
        <w:t xml:space="preserve">в форме </w:t>
      </w:r>
      <w:r w:rsidR="005C2EE4">
        <w:t>публичного предлож</w:t>
      </w:r>
      <w:bookmarkStart w:id="0" w:name="_GoBack"/>
      <w:bookmarkEnd w:id="0"/>
      <w:r w:rsidR="005C2EE4">
        <w:t>ения</w:t>
      </w:r>
      <w:r w:rsidR="002D2FE2" w:rsidRPr="002D2FE2">
        <w:t>, открытого по составу участников с открытой формой подачи предложений о цене</w:t>
      </w:r>
      <w:r w:rsidR="005279C2" w:rsidRPr="0042331D">
        <w:t xml:space="preserve">, проводимые </w:t>
      </w:r>
      <w:r w:rsidR="00307979">
        <w:t xml:space="preserve">двумя лотами (Лот № 1 и Лот № 2) </w:t>
      </w:r>
      <w:r w:rsidR="00157E08" w:rsidRPr="0042331D">
        <w:t xml:space="preserve">согласно сообщению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8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«Ру-Трейд»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9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="00843352">
        <w:t>10 (десяти</w:t>
      </w:r>
      <w:r w:rsidRPr="005B71AF">
        <w:t xml:space="preserve">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</w:t>
      </w:r>
      <w:r w:rsidR="00157E08" w:rsidRPr="0042331D">
        <w:lastRenderedPageBreak/>
        <w:t xml:space="preserve">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 xml:space="preserve">задаток в размере </w:t>
      </w:r>
      <w:r w:rsidR="00254563">
        <w:t>10 (десять</w:t>
      </w:r>
      <w:r w:rsidR="008E2093" w:rsidRPr="008E2093">
        <w:t>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</w:t>
      </w:r>
      <w:r w:rsidR="00157E08"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lastRenderedPageBreak/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r w:rsidR="00B24D2D"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D6" w:rsidRDefault="00097FD6">
      <w:r>
        <w:separator/>
      </w:r>
    </w:p>
  </w:endnote>
  <w:endnote w:type="continuationSeparator" w:id="0">
    <w:p w:rsidR="00097FD6" w:rsidRDefault="0009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D6" w:rsidRDefault="00097FD6">
      <w:r>
        <w:separator/>
      </w:r>
    </w:p>
  </w:footnote>
  <w:footnote w:type="continuationSeparator" w:id="0">
    <w:p w:rsidR="00097FD6" w:rsidRDefault="0009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Pr="00274766" w:rsidRDefault="0084335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1F2D63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843352" w:rsidRPr="00274766" w:rsidRDefault="0084335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hideSpellingErrors/>
  <w:hideGrammaticalError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97FD6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1F2D63"/>
    <w:rsid w:val="0021067C"/>
    <w:rsid w:val="002203F8"/>
    <w:rsid w:val="002247CE"/>
    <w:rsid w:val="002275DF"/>
    <w:rsid w:val="00236E8D"/>
    <w:rsid w:val="00254563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79C2"/>
    <w:rsid w:val="00551DBB"/>
    <w:rsid w:val="00554FCD"/>
    <w:rsid w:val="00571985"/>
    <w:rsid w:val="005B71AF"/>
    <w:rsid w:val="005C2EE4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3352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9YCyNDZCeW32ARa3DmWRK83LaCe/bijVfkKgTH6DiOI=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iX7b0rZ+3jofz1otpPSobGxM928yC1jJmtIAlwnTx9I=</DigestValue>
    </Reference>
  </SignedInfo>
  <SignatureValue>9R9JAFpSWNAMFnZqyFcZb93/Yj77+vq0Jws9TR56sIVOuX0JgpC2oD4/AY/FY5o2
2kXsmZI1gQ+ev4eY/OBF9Q==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dmqUBj1zmjmUWNNU/BE869V+Z/E=</DigestValue>
      </Reference>
      <Reference URI="/word/document.xml?ContentType=application/vnd.openxmlformats-officedocument.wordprocessingml.document.main+xml">
        <DigestMethod Algorithm="http://www.w3.org/2000/09/xmldsig#sha1"/>
        <DigestValue>h0vmnddejo3MovN0Tx0nOToEOvM=</DigestValue>
      </Reference>
      <Reference URI="/word/endnotes.xml?ContentType=application/vnd.openxmlformats-officedocument.wordprocessingml.endnotes+xml">
        <DigestMethod Algorithm="http://www.w3.org/2000/09/xmldsig#sha1"/>
        <DigestValue>2cSVlyKeo5JLB1PQjueE14InWU4=</DigestValue>
      </Reference>
      <Reference URI="/word/fontTable.xml?ContentType=application/vnd.openxmlformats-officedocument.wordprocessingml.fontTable+xml">
        <DigestMethod Algorithm="http://www.w3.org/2000/09/xmldsig#sha1"/>
        <DigestValue>kcc4lLb6Ppfw94qdlRcowAZ+gbU=</DigestValue>
      </Reference>
      <Reference URI="/word/footer1.xml?ContentType=application/vnd.openxmlformats-officedocument.wordprocessingml.footer+xml">
        <DigestMethod Algorithm="http://www.w3.org/2000/09/xmldsig#sha1"/>
        <DigestValue>5FoaXKC57zchTD1yphqiHChV7uI=</DigestValue>
      </Reference>
      <Reference URI="/word/footer2.xml?ContentType=application/vnd.openxmlformats-officedocument.wordprocessingml.footer+xml">
        <DigestMethod Algorithm="http://www.w3.org/2000/09/xmldsig#sha1"/>
        <DigestValue>0gwETYWeW0MLjN+Nq2xeh2id0ok=</DigestValue>
      </Reference>
      <Reference URI="/word/footer3.xml?ContentType=application/vnd.openxmlformats-officedocument.wordprocessingml.footer+xml">
        <DigestMethod Algorithm="http://www.w3.org/2000/09/xmldsig#sha1"/>
        <DigestValue>0gwETYWeW0MLjN+Nq2xeh2id0ok=</DigestValue>
      </Reference>
      <Reference URI="/word/footnotes.xml?ContentType=application/vnd.openxmlformats-officedocument.wordprocessingml.footnotes+xml">
        <DigestMethod Algorithm="http://www.w3.org/2000/09/xmldsig#sha1"/>
        <DigestValue>+nMBrI33O4ud4tdLuWZxXal5QjQ=</DigestValue>
      </Reference>
      <Reference URI="/word/header1.xml?ContentType=application/vnd.openxmlformats-officedocument.wordprocessingml.header+xml">
        <DigestMethod Algorithm="http://www.w3.org/2000/09/xmldsig#sha1"/>
        <DigestValue>XpvtBanPUuQxcJmgRcZGXxFkHbE=</DigestValue>
      </Reference>
      <Reference URI="/word/header2.xml?ContentType=application/vnd.openxmlformats-officedocument.wordprocessingml.header+xml">
        <DigestMethod Algorithm="http://www.w3.org/2000/09/xmldsig#sha1"/>
        <DigestValue>BFvmnc6L/gqZXMrQ6cNpLlD1uCU=</DigestValue>
      </Reference>
      <Reference URI="/word/header3.xml?ContentType=application/vnd.openxmlformats-officedocument.wordprocessingml.header+xml">
        <DigestMethod Algorithm="http://www.w3.org/2000/09/xmldsig#sha1"/>
        <DigestValue>i0SqOKmccZTW1OuryVhk5l06HZ8=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9bPJfpb7Hn/N0dbyLhknFWr7xcs=</DigestValue>
      </Reference>
      <Reference URI="/word/styles.xml?ContentType=application/vnd.openxmlformats-officedocument.wordprocessingml.styles+xml">
        <DigestMethod Algorithm="http://www.w3.org/2000/09/xmldsig#sha1"/>
        <DigestValue>nMVg5dT8BSVzJiQBFmnaonP/1BM=</DigestValue>
      </Reference>
      <Reference URI="/word/stylesWithEffects.xml?ContentType=application/vnd.ms-word.stylesWithEffects+xml">
        <DigestMethod Algorithm="http://www.w3.org/2000/09/xmldsig#sha1"/>
        <DigestValue>IyfRsjtAF57Ccy9UIIiAtm/QryU=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2018-04-20T13:30:49Z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2018-04-20T13:30:49Z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2018-04-20T13:31:00Z</dcterms:created>
  <dcterms:modified xsi:type="dcterms:W3CDTF">2018-04-20T13:31:00Z</dcterms:modified>
</cp:coreProperties>
</file>