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ДОГОВОР №__</w:t>
      </w:r>
    </w:p>
    <w:p>
      <w:pPr>
        <w:pStyle w:val="Normal"/>
        <w:jc w:val="center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купли-продажи недвижимого имущества</w:t>
      </w:r>
    </w:p>
    <w:p>
      <w:pPr>
        <w:pStyle w:val="Normal"/>
        <w:jc w:val="center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г. Кострома</w:t>
        <w:tab/>
        <w:tab/>
        <w:tab/>
        <w:tab/>
        <w:tab/>
        <w:tab/>
        <w:tab/>
        <w:tab/>
        <w:tab/>
        <w:t>«___» _______ 2021 г.</w:t>
      </w:r>
    </w:p>
    <w:p>
      <w:pPr>
        <w:pStyle w:val="Normal"/>
        <w:jc w:val="both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ind w:firstLine="709"/>
        <w:jc w:val="both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Общество с ограниченной ответственностью инвестиционное строительно-проектное объединение «Костромагорстрой» </w:t>
      </w:r>
      <w:r>
        <w:rPr>
          <w:bCs/>
          <w:sz w:val="24"/>
          <w:szCs w:val="24"/>
        </w:rPr>
        <w:t>(сокращенное наименование – ООО ИСПО «Костромагорстрой»), в лице конкурсного управляющего</w:t>
      </w:r>
      <w:r>
        <w:rPr/>
        <w:t xml:space="preserve"> </w:t>
      </w:r>
      <w:r>
        <w:rPr>
          <w:bCs/>
          <w:sz w:val="24"/>
          <w:szCs w:val="24"/>
        </w:rPr>
        <w:t>Белова Максима Валериевича (ИНН 502498703961, СНИЛС 057-190-386 70, реестровый номер арбитражного управляющего №17660), член Союза арбитражных управляющих «Саморегулируемая организация «Северная столица» (ОГРН 1027806876173, ИНН 7813175754, адрес: 194100, Россия, г. Санкт-Петербург, ул. Новолитовская, д. 15 литера А), действующего на основании решения  Арбитражного суда Костромской области по делу №А31-15503/2018 от 11.12.2019 г. (резолютивная часть оглашена 09.12.2019 г.), именуемое в дальнейшем «Продавец», с одной стороны, и</w:t>
      </w:r>
    </w:p>
    <w:p>
      <w:pPr>
        <w:pStyle w:val="Normal"/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______________, в лице __________, действующего на основании _____, именуемое в дальнейшем «Покупатель», с другой стороны, совместно именуемые «Стороны», заключили настоящий Договор о нижеследующем.</w:t>
      </w:r>
    </w:p>
    <w:p>
      <w:pPr>
        <w:pStyle w:val="Normal"/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ListParagraph"/>
        <w:numPr>
          <w:ilvl w:val="0"/>
          <w:numId w:val="1"/>
        </w:numPr>
        <w:ind w:left="0" w:firstLine="709"/>
        <w:jc w:val="center"/>
        <w:rPr>
          <w:b/>
          <w:b/>
          <w:bCs/>
        </w:rPr>
      </w:pPr>
      <w:r>
        <w:rPr>
          <w:b/>
          <w:bCs/>
        </w:rPr>
        <w:t>Предмет договора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 xml:space="preserve"> </w:t>
      </w:r>
      <w:r>
        <w:rPr>
          <w:bCs/>
        </w:rPr>
        <w:t>Продавец обязуется передать в собственность Покупателю, а Покупатель принять и оплатить в соответствии с условиями настоящего Договора следующее имущество.</w:t>
      </w:r>
    </w:p>
    <w:p>
      <w:pPr>
        <w:pStyle w:val="ListParagraph"/>
        <w:numPr>
          <w:ilvl w:val="2"/>
          <w:numId w:val="1"/>
        </w:numPr>
        <w:ind w:left="0" w:firstLine="709"/>
        <w:rPr>
          <w:bCs/>
        </w:rPr>
      </w:pPr>
      <w:r>
        <w:rPr>
          <w:bCs/>
        </w:rPr>
        <w:t>Квартира общей площадью 61,90 кв.м, кадастровый номер: 44:27:080303:2472, количество комнат - 2, расположенная на 10 этаже, по адресу: Костромская обл., г. Кострома, ул. Магистральная, д. 12, корп.2, кв. 67 (далее – Имущество).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Продавец гарантирует, что продаваемое по настоящему Договору имущество никому не продано, под арестом или запретом не состоит.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Покупатель ознакомлен с документами, подтверждающими право Продавца на продаваемое Имущество, а также с другими документами, необходимыми для оформления настоящего Договора и регистрации перехода прав собственности и претензий к ним не имеет.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До подписания настоящего Договора Имущество Покупателем осмотрено.</w:t>
      </w:r>
    </w:p>
    <w:p>
      <w:pPr>
        <w:pStyle w:val="ListParagraph"/>
        <w:ind w:left="709" w:hanging="0"/>
        <w:rPr>
          <w:bCs/>
        </w:rPr>
      </w:pPr>
      <w:r>
        <w:rPr>
          <w:bCs/>
        </w:rPr>
      </w:r>
    </w:p>
    <w:p>
      <w:pPr>
        <w:pStyle w:val="ListParagraph"/>
        <w:numPr>
          <w:ilvl w:val="0"/>
          <w:numId w:val="1"/>
        </w:numPr>
        <w:ind w:left="0" w:firstLine="709"/>
        <w:jc w:val="center"/>
        <w:rPr>
          <w:b/>
          <w:b/>
          <w:bCs/>
        </w:rPr>
      </w:pPr>
      <w:r>
        <w:rPr>
          <w:b/>
          <w:bCs/>
        </w:rPr>
        <w:t>Цена договора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Цена имущества по настоящему Договору составляет ___ (____) руб. ___ коп. В соответствии с подпунктом 15 пункта 2 статьи 146 НК РФ НДС не облагаются операции по реализации имущества и (или) имущественных прав должников, признанных в соответствии с законодательством Российской Федерации несостоятельными (банкротами).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 xml:space="preserve">Задаток в сумме __ (__) руб. __ коп., внесенный Покупателем на счет Продавца, засчитывается в счет оплаты имущества.  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С учетом п. 2.2. настоящего договора Покупатель обязан уплатить сумму в размере ____ (__) руб. __ коп., представляющую собой сумму цены продажи имущества (за вычетом суммы задатка).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Покупатель – победитель торгов, обязуется произвести оплату в срок не позднее 30 (тридцати) дней с даты подписания Сторонами настоящего Договора путем безналичного перечисления денежных средств по реквизитам Продавца, указанным в настоящем Договоре.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Покупатель несет все расходы, связанные с государственной регистрацией перехода права собственности.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Обязательство Покупателя по оплате стоимости Имущества считается исполненным с момента поступления денежных средств в полном объеме на счет банка Продавца.</w:t>
      </w:r>
    </w:p>
    <w:p>
      <w:pPr>
        <w:pStyle w:val="ListParagraph"/>
        <w:ind w:left="709" w:hanging="0"/>
        <w:rPr>
          <w:bCs/>
        </w:rPr>
      </w:pPr>
      <w:r>
        <w:rPr>
          <w:bCs/>
        </w:rPr>
      </w:r>
    </w:p>
    <w:p>
      <w:pPr>
        <w:pStyle w:val="ListParagraph"/>
        <w:numPr>
          <w:ilvl w:val="0"/>
          <w:numId w:val="1"/>
        </w:numPr>
        <w:ind w:left="0" w:firstLine="709"/>
        <w:jc w:val="center"/>
        <w:rPr>
          <w:b/>
          <w:b/>
          <w:bCs/>
        </w:rPr>
      </w:pPr>
      <w:r>
        <w:rPr>
          <w:b/>
          <w:bCs/>
        </w:rPr>
        <w:t>Передача имущества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 xml:space="preserve">Продавец обязан передать Покупателю Имущество по акту приема-передачи, подписанному Сторонами в срок не позднее 10 (десяти) рабочих дней после полной оплаты суммы, указанной в п. 2.1. настоящего Договора. 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С момента подписания акта приема-передачи имущества ответственность за сохранность, а также риск его случайной гибели, порчи или повреждения несет Покупатель.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 xml:space="preserve">Право собственности на Имущество переходит к Покупателю с момента государственной регистрации в уполномоченном органе, осуществляющем государственную регистрацию прав на недвижимое имущество и сделок с ним, в порядке, установленном действующем законодательством. 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По настоящему договору Покупателю передается Имущество в том виде, как оно есть. Все риски, связанные с приобретением имущества без предварительного осмотра несет покупатель.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Принятое Покупателем Имущество возврату и обмену не подлежит. Продавец не несет ответственности за качество проданного Имущества и недостатки, которые могут в дальнейшем обнаружиться Покупателем. Все риски и затраты, которые могут возникнуть в связи с использованием (ремонтом, восстановлением) имущества, Покупатель принимает на себя.</w:t>
      </w:r>
    </w:p>
    <w:p>
      <w:pPr>
        <w:pStyle w:val="ListParagraph"/>
        <w:ind w:left="709" w:hanging="0"/>
        <w:rPr>
          <w:bCs/>
        </w:rPr>
      </w:pPr>
      <w:r>
        <w:rPr>
          <w:bCs/>
        </w:rPr>
      </w:r>
    </w:p>
    <w:p>
      <w:pPr>
        <w:pStyle w:val="ListParagraph"/>
        <w:numPr>
          <w:ilvl w:val="0"/>
          <w:numId w:val="1"/>
        </w:numPr>
        <w:ind w:left="0" w:hanging="0"/>
        <w:jc w:val="center"/>
        <w:rPr>
          <w:b/>
          <w:b/>
          <w:bCs/>
        </w:rPr>
      </w:pPr>
      <w:r>
        <w:rPr>
          <w:b/>
          <w:bCs/>
        </w:rPr>
        <w:t>Права и обязанности сторон</w:t>
      </w:r>
    </w:p>
    <w:p>
      <w:pPr>
        <w:pStyle w:val="ListParagraph"/>
        <w:numPr>
          <w:ilvl w:val="1"/>
          <w:numId w:val="1"/>
        </w:numPr>
        <w:rPr>
          <w:bCs/>
        </w:rPr>
      </w:pPr>
      <w:r>
        <w:rPr>
          <w:bCs/>
        </w:rPr>
        <w:t xml:space="preserve"> </w:t>
      </w:r>
      <w:r>
        <w:rPr>
          <w:bCs/>
        </w:rPr>
        <w:t>Продавец обязуется:</w:t>
      </w:r>
    </w:p>
    <w:p>
      <w:pPr>
        <w:pStyle w:val="ListParagraph"/>
        <w:numPr>
          <w:ilvl w:val="2"/>
          <w:numId w:val="1"/>
        </w:numPr>
        <w:ind w:left="0" w:firstLine="709"/>
        <w:rPr>
          <w:bCs/>
        </w:rPr>
      </w:pPr>
      <w:r>
        <w:rPr>
          <w:bCs/>
        </w:rPr>
        <w:t>Передать Покупателю по акту приема-передачи Имущество, являющееся предметом настоящего Договора.</w:t>
      </w:r>
    </w:p>
    <w:p>
      <w:pPr>
        <w:pStyle w:val="ListParagraph"/>
        <w:numPr>
          <w:ilvl w:val="2"/>
          <w:numId w:val="1"/>
        </w:numPr>
        <w:ind w:left="0" w:firstLine="709"/>
        <w:rPr>
          <w:bCs/>
        </w:rPr>
      </w:pPr>
      <w:r>
        <w:rPr>
          <w:bCs/>
        </w:rPr>
        <w:t>Предоставить документы, необходимые для государственной регистрации перехода права собственности на Имущество.</w:t>
      </w:r>
    </w:p>
    <w:p>
      <w:pPr>
        <w:pStyle w:val="ListParagraph"/>
        <w:numPr>
          <w:ilvl w:val="2"/>
          <w:numId w:val="1"/>
        </w:numPr>
        <w:ind w:left="0" w:firstLine="709"/>
        <w:rPr>
          <w:bCs/>
        </w:rPr>
      </w:pPr>
      <w:r>
        <w:rPr>
          <w:bCs/>
        </w:rPr>
        <w:t>Произвести необходимые действия для государственной регистрации перехода права собственности на Имущество от Продавца к Покупателю.</w:t>
      </w:r>
    </w:p>
    <w:p>
      <w:pPr>
        <w:pStyle w:val="ListParagraph"/>
        <w:numPr>
          <w:ilvl w:val="1"/>
          <w:numId w:val="1"/>
        </w:numPr>
        <w:rPr>
          <w:bCs/>
        </w:rPr>
      </w:pPr>
      <w:r>
        <w:rPr>
          <w:bCs/>
        </w:rPr>
        <w:t>Продавец в праве:</w:t>
      </w:r>
    </w:p>
    <w:p>
      <w:pPr>
        <w:pStyle w:val="ListParagraph"/>
        <w:numPr>
          <w:ilvl w:val="2"/>
          <w:numId w:val="1"/>
        </w:numPr>
        <w:ind w:left="0" w:firstLine="709"/>
        <w:rPr>
          <w:bCs/>
        </w:rPr>
      </w:pPr>
      <w:r>
        <w:rPr>
          <w:bCs/>
        </w:rPr>
        <w:t>Расторгнуть настоящий Договора в одностороннем порядке в случае нарушения Покупателем положений п.п. 2.1., 2.4. настоящего Договора без предварительного направления уведомления.</w:t>
      </w:r>
    </w:p>
    <w:p>
      <w:pPr>
        <w:pStyle w:val="ListParagraph"/>
        <w:numPr>
          <w:ilvl w:val="1"/>
          <w:numId w:val="1"/>
        </w:numPr>
        <w:rPr>
          <w:bCs/>
        </w:rPr>
      </w:pPr>
      <w:r>
        <w:rPr>
          <w:bCs/>
        </w:rPr>
        <w:t xml:space="preserve"> </w:t>
      </w:r>
      <w:r>
        <w:rPr>
          <w:bCs/>
        </w:rPr>
        <w:t>Покупатель обязуется:</w:t>
      </w:r>
    </w:p>
    <w:p>
      <w:pPr>
        <w:pStyle w:val="ListParagraph"/>
        <w:numPr>
          <w:ilvl w:val="2"/>
          <w:numId w:val="1"/>
        </w:numPr>
        <w:ind w:left="0" w:firstLine="709"/>
        <w:rPr>
          <w:bCs/>
        </w:rPr>
      </w:pPr>
      <w:r>
        <w:rPr>
          <w:bCs/>
        </w:rPr>
        <w:t>Оплатить стоимость приобретенного Имущества в полном объеме, в порядке и сроки, установленные настоящем Договором.</w:t>
      </w:r>
    </w:p>
    <w:p>
      <w:pPr>
        <w:pStyle w:val="ListParagraph"/>
        <w:numPr>
          <w:ilvl w:val="2"/>
          <w:numId w:val="1"/>
        </w:numPr>
        <w:ind w:left="0" w:firstLine="709"/>
        <w:rPr>
          <w:bCs/>
        </w:rPr>
      </w:pPr>
      <w:r>
        <w:rPr>
          <w:bCs/>
        </w:rPr>
        <w:t>Принять Имущество в день подписания акта приема-передачи.</w:t>
      </w:r>
    </w:p>
    <w:p>
      <w:pPr>
        <w:pStyle w:val="ListParagraph"/>
        <w:ind w:left="709" w:hanging="0"/>
        <w:rPr>
          <w:bCs/>
        </w:rPr>
      </w:pPr>
      <w:r>
        <w:rPr>
          <w:bCs/>
        </w:rPr>
      </w:r>
    </w:p>
    <w:p>
      <w:pPr>
        <w:pStyle w:val="ListParagraph"/>
        <w:numPr>
          <w:ilvl w:val="0"/>
          <w:numId w:val="1"/>
        </w:numPr>
        <w:ind w:left="0" w:firstLine="709"/>
        <w:jc w:val="center"/>
        <w:rPr>
          <w:b/>
          <w:b/>
          <w:bCs/>
        </w:rPr>
      </w:pPr>
      <w:r>
        <w:rPr>
          <w:b/>
          <w:bCs/>
        </w:rPr>
        <w:t>Ответственность сторон обязательной непреодолимой силы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 xml:space="preserve"> </w:t>
      </w:r>
      <w:r>
        <w:rPr>
          <w:bCs/>
        </w:rPr>
        <w:t>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 и настоящим Договором.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обстоятельств непреодолимой силы, возникших после заключения настоящего договора, в результате обстоятельств чрезвычайного характера, которые стороны не могли предвидеть или предотвратить.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При наступлении обстоятельств, указанных в п. 5.2, каждая сторона должна без промедления известить о них в письменном виде другую сторону. Извещение должно содержать данные о характере обстоятельств, а также официальные документы, удостоверяющие наличие этих обстоятельств и, по возможности, дающие оценку их влияния на возможность исполнения стороной своих обязательств по данному договору.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Если сторона не направит или несвоевременно направит извещение, предусмотренное в п. 5.3, то она обязана возместить второй стороне понесенные убытки.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В случае наступления обстоятельств, предусмотренных в п. 5.2,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>
      <w:pPr>
        <w:pStyle w:val="ListParagraph"/>
        <w:ind w:left="709" w:hanging="0"/>
        <w:rPr>
          <w:bCs/>
        </w:rPr>
      </w:pPr>
      <w:r>
        <w:rPr>
          <w:bCs/>
        </w:rPr>
      </w:r>
    </w:p>
    <w:p>
      <w:pPr>
        <w:pStyle w:val="ListParagraph"/>
        <w:numPr>
          <w:ilvl w:val="0"/>
          <w:numId w:val="1"/>
        </w:numPr>
        <w:ind w:left="0" w:firstLine="709"/>
        <w:jc w:val="center"/>
        <w:rPr>
          <w:b/>
          <w:b/>
          <w:bCs/>
        </w:rPr>
      </w:pPr>
      <w:r>
        <w:rPr>
          <w:b/>
          <w:bCs/>
        </w:rPr>
        <w:t>Разрешение споров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Все споры и разногласия, которые могут возникнуть между сторонами по вопросам, не нашедшим своего разрешения в тексте данного договора, а также связанные с заключением, исполнением, толкованием, изменением и расторжением настоящего Договора будут разрешаться путем переговоров.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При не урегулировании в процессе переговоров спорных вопросов споры разрешаются в порядке, установленном действующим законодательством Российской Федерации.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В случае неурегулирования споров путем переговоров заинтересованная Сторона направляет в письменной форме претензию, подписанную уполномоченным лицом.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К претензии должны прилагаться обосновывающие требования заинтересованной Стороны документы (в случае их отсутствия у другой Стороны) и документы, подтверждающие полномочия лица, которое подписало претензию. Если претензия направлена без документов, подтверждающих полномочия лица, которое ее подписало, то она считается непредъявленной и рассмотрению не подлежит.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Сторона, в адрес которой направлена претензия, обязана ее рассмотреть и о результатах уведомить в письменной форме другую Сторону в течение 5 (пяти) рабочих дней со дня получения претензии.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В случае если спор не урегулирован в претензионном порядке или ответ на претензию не получен в течение указанного срока, спор передается в Арбитражный суд Костромской области.</w:t>
      </w:r>
    </w:p>
    <w:p>
      <w:pPr>
        <w:pStyle w:val="ListParagraph"/>
        <w:ind w:left="709" w:hanging="0"/>
        <w:rPr>
          <w:bCs/>
        </w:rPr>
      </w:pPr>
      <w:r>
        <w:rPr>
          <w:bCs/>
        </w:rPr>
      </w:r>
    </w:p>
    <w:p>
      <w:pPr>
        <w:pStyle w:val="ListParagraph"/>
        <w:numPr>
          <w:ilvl w:val="0"/>
          <w:numId w:val="1"/>
        </w:numPr>
        <w:ind w:left="0" w:firstLine="709"/>
        <w:jc w:val="center"/>
        <w:rPr>
          <w:b/>
          <w:b/>
          <w:bCs/>
        </w:rPr>
      </w:pPr>
      <w:r>
        <w:rPr>
          <w:b/>
          <w:bCs/>
        </w:rPr>
        <w:t>Изменение и прекращение действия договора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Настоящий договор может быть изменен или прекращен по письменному соглашению сторон, а также в других случаях, предусмотренных законодательством Российской Федерации и настоящим договором.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Стороны договорились, что в случае, если Покупатель не оплатит в срок, установленный п. 2.4. настоящего Договора, стоимость Имущества, договор автоматически расторгается по истечении указанного срока окончания оплаты. При этом факт расторжения договора не требует дополнительного согласования, либо обращения в суд.</w:t>
      </w:r>
    </w:p>
    <w:p>
      <w:pPr>
        <w:pStyle w:val="ListParagraph"/>
        <w:ind w:left="709" w:hanging="0"/>
        <w:rPr>
          <w:bCs/>
        </w:rPr>
      </w:pPr>
      <w:r>
        <w:rPr>
          <w:bCs/>
        </w:rPr>
      </w:r>
    </w:p>
    <w:p>
      <w:pPr>
        <w:pStyle w:val="ListParagraph"/>
        <w:numPr>
          <w:ilvl w:val="0"/>
          <w:numId w:val="1"/>
        </w:numPr>
        <w:ind w:left="0" w:firstLine="709"/>
        <w:jc w:val="center"/>
        <w:rPr>
          <w:b/>
          <w:b/>
          <w:bCs/>
        </w:rPr>
      </w:pPr>
      <w:r>
        <w:rPr>
          <w:b/>
          <w:bCs/>
        </w:rPr>
        <w:t>Срок действия договора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Настоящий Договор считается заключенным с момента его подписания.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Настоящий Договор действует до момента полного выполнения Сторонами взятых на себя обязательств.</w:t>
      </w:r>
    </w:p>
    <w:p>
      <w:pPr>
        <w:pStyle w:val="ListParagraph"/>
        <w:ind w:left="709" w:hanging="0"/>
        <w:rPr>
          <w:bCs/>
        </w:rPr>
      </w:pPr>
      <w:r>
        <w:rPr>
          <w:bCs/>
        </w:rPr>
      </w:r>
    </w:p>
    <w:p>
      <w:pPr>
        <w:pStyle w:val="ListParagraph"/>
        <w:numPr>
          <w:ilvl w:val="0"/>
          <w:numId w:val="1"/>
        </w:numPr>
        <w:ind w:left="0" w:firstLine="709"/>
        <w:jc w:val="center"/>
        <w:rPr>
          <w:b/>
          <w:b/>
          <w:bCs/>
        </w:rPr>
      </w:pPr>
      <w:r>
        <w:rPr>
          <w:b/>
          <w:bCs/>
        </w:rPr>
        <w:t>Заключительные положения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 xml:space="preserve"> </w:t>
      </w:r>
      <w:r>
        <w:rPr>
          <w:bCs/>
        </w:rPr>
        <w:t>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Любые изменения и дополнения к настоящему договору действительны при условии, если они совершены в письменной форме и подписаны уполномоченными на то представителями сторон.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Все уведомления и сообщения Сторонам настоящего договора должны направляться в письменной форме. Сообщения будут считаться исполненными надлежащим образом, если они посланы заказным письмом, по телеграфу, или доставлены лично по юридическим (почтовым) адресам сторон с получением под расписку соответствующими должностными лицами.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Настоящий договор составлен в трех экземплярах, имеющих одинаковую юридическую силу, по одному экземпляру для каждой из сторон и для регистрирующего органа.</w:t>
      </w:r>
    </w:p>
    <w:p>
      <w:pPr>
        <w:pStyle w:val="ListParagraph"/>
        <w:ind w:left="709" w:hanging="0"/>
        <w:rPr>
          <w:bCs/>
        </w:rPr>
      </w:pPr>
      <w:r>
        <w:rPr>
          <w:bCs/>
        </w:rPr>
      </w:r>
    </w:p>
    <w:p>
      <w:pPr>
        <w:pStyle w:val="ListParagraph"/>
        <w:numPr>
          <w:ilvl w:val="0"/>
          <w:numId w:val="1"/>
        </w:numPr>
        <w:ind w:left="0" w:firstLine="709"/>
        <w:jc w:val="center"/>
        <w:rPr>
          <w:b/>
          <w:b/>
          <w:bCs/>
        </w:rPr>
      </w:pPr>
      <w:r>
        <w:rPr>
          <w:b/>
          <w:bCs/>
        </w:rPr>
        <w:t>Адреса, банковский реквизиты и подписи сторон</w:t>
      </w:r>
    </w:p>
    <w:p>
      <w:pPr>
        <w:pStyle w:val="ListParagraph"/>
        <w:ind w:left="357" w:hanging="0"/>
        <w:rPr>
          <w:b/>
          <w:b/>
          <w:bCs/>
        </w:rPr>
      </w:pPr>
      <w:r>
        <w:rPr>
          <w:b/>
          <w:bCs/>
        </w:rPr>
      </w:r>
    </w:p>
    <w:tbl>
      <w:tblPr>
        <w:tblStyle w:val="af1"/>
        <w:tblW w:w="9356" w:type="dxa"/>
        <w:jc w:val="left"/>
        <w:tblInd w:w="-5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905"/>
        <w:gridCol w:w="4450"/>
      </w:tblGrid>
      <w:tr>
        <w:trPr/>
        <w:tc>
          <w:tcPr>
            <w:tcW w:w="4905" w:type="dxa"/>
            <w:tcBorders/>
          </w:tcPr>
          <w:p>
            <w:pPr>
              <w:pStyle w:val="Normal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Продавец</w:t>
            </w:r>
          </w:p>
        </w:tc>
        <w:tc>
          <w:tcPr>
            <w:tcW w:w="4450" w:type="dxa"/>
            <w:tcBorders/>
          </w:tcPr>
          <w:p>
            <w:pPr>
              <w:pStyle w:val="Normal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Покупатель</w:t>
            </w:r>
          </w:p>
        </w:tc>
      </w:tr>
      <w:tr>
        <w:trPr/>
        <w:tc>
          <w:tcPr>
            <w:tcW w:w="4905" w:type="dxa"/>
            <w:tcBorders/>
          </w:tcPr>
          <w:p>
            <w:pPr>
              <w:pStyle w:val="Normal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ООО ИСПО «Костромагорстрой»</w:t>
            </w:r>
          </w:p>
        </w:tc>
        <w:tc>
          <w:tcPr>
            <w:tcW w:w="4450" w:type="dxa"/>
            <w:tcBorders/>
          </w:tcPr>
          <w:p>
            <w:pPr>
              <w:pStyle w:val="Normal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4905" w:type="dxa"/>
            <w:tcBorders/>
          </w:tcPr>
          <w:p>
            <w:pPr>
              <w:pStyle w:val="Normal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ИНН</w:t>
            </w:r>
            <w:r>
              <w:rPr/>
              <w:t xml:space="preserve"> </w:t>
            </w:r>
            <w:r>
              <w:rPr>
                <w:bCs/>
                <w:sz w:val="24"/>
                <w:szCs w:val="24"/>
              </w:rPr>
              <w:t>4443022963</w:t>
            </w:r>
          </w:p>
          <w:p>
            <w:pPr>
              <w:pStyle w:val="Normal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ОГРН</w:t>
            </w:r>
            <w:r>
              <w:rPr/>
              <w:t xml:space="preserve"> </w:t>
            </w:r>
            <w:r>
              <w:rPr>
                <w:bCs/>
                <w:sz w:val="24"/>
                <w:szCs w:val="24"/>
              </w:rPr>
              <w:t>1024400507669</w:t>
            </w:r>
          </w:p>
          <w:p>
            <w:pPr>
              <w:pStyle w:val="Normal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КПП</w:t>
            </w:r>
            <w:r>
              <w:rPr/>
              <w:t xml:space="preserve"> </w:t>
            </w:r>
            <w:r>
              <w:rPr>
                <w:bCs/>
                <w:sz w:val="24"/>
                <w:szCs w:val="24"/>
              </w:rPr>
              <w:t>440101001</w:t>
            </w:r>
          </w:p>
          <w:p>
            <w:pPr>
              <w:pStyle w:val="Normal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156026, Костромская область, г. Кострома, ул. Гагарина, д. 21, пом/ком 1/44</w:t>
            </w:r>
          </w:p>
          <w:p>
            <w:pPr>
              <w:pStyle w:val="Normal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р/с № 40702810829000004606</w:t>
            </w:r>
          </w:p>
          <w:p>
            <w:pPr>
              <w:pStyle w:val="Normal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Костромское отделение №8640 ПАО Сбербанк</w:t>
            </w:r>
          </w:p>
          <w:p>
            <w:pPr>
              <w:pStyle w:val="Normal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БИК 043469623</w:t>
            </w:r>
          </w:p>
          <w:p>
            <w:pPr>
              <w:pStyle w:val="Normal"/>
              <w:rPr>
                <w:b/>
                <w:b/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к/с 30101810200000000623</w:t>
            </w:r>
          </w:p>
          <w:p>
            <w:pPr>
              <w:pStyle w:val="Normal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4450" w:type="dxa"/>
            <w:tcBorders/>
          </w:tcPr>
          <w:p>
            <w:pPr>
              <w:pStyle w:val="Normal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4905" w:type="dxa"/>
            <w:tcBorders/>
          </w:tcPr>
          <w:p>
            <w:pPr>
              <w:pStyle w:val="Normal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Конкурсный управляющий</w:t>
            </w:r>
          </w:p>
          <w:p>
            <w:pPr>
              <w:pStyle w:val="Normal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ООО ИСПО «Костромагорстрой»</w:t>
            </w:r>
          </w:p>
          <w:p>
            <w:pPr>
              <w:pStyle w:val="Normal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  <w:p>
            <w:pPr>
              <w:pStyle w:val="Normal"/>
              <w:pBdr>
                <w:bottom w:val="single" w:sz="12" w:space="1" w:color="000000"/>
              </w:pBdr>
              <w:tabs>
                <w:tab w:val="clear" w:pos="708"/>
                <w:tab w:val="left" w:pos="3399" w:leader="none"/>
              </w:tabs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ab/>
              <w:t>/М.В.Белов/</w:t>
            </w:r>
          </w:p>
          <w:p>
            <w:pPr>
              <w:pStyle w:val="Normal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М.П.</w:t>
            </w:r>
          </w:p>
        </w:tc>
        <w:tc>
          <w:tcPr>
            <w:tcW w:w="4450" w:type="dxa"/>
            <w:tcBorders/>
          </w:tcPr>
          <w:p>
            <w:pPr>
              <w:pStyle w:val="Normal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</w:tr>
    </w:tbl>
    <w:p>
      <w:pPr>
        <w:pStyle w:val="Normal"/>
        <w:ind w:left="357" w:hanging="0"/>
        <w:jc w:val="center"/>
        <w:rPr>
          <w:b/>
          <w:b/>
          <w:bCs/>
        </w:rPr>
      </w:pPr>
      <w:r>
        <w:rPr>
          <w:b/>
          <w:bCs/>
        </w:rPr>
      </w:r>
    </w:p>
    <w:p>
      <w:pPr>
        <w:pStyle w:val="ListParagraph"/>
        <w:ind w:left="0" w:firstLine="709"/>
        <w:rPr>
          <w:bCs/>
        </w:rPr>
      </w:pPr>
      <w:r>
        <w:rPr>
          <w:bCs/>
        </w:rPr>
      </w:r>
    </w:p>
    <w:p>
      <w:pPr>
        <w:pStyle w:val="ListParagraph"/>
        <w:ind w:left="709" w:hanging="0"/>
        <w:rPr>
          <w:bCs/>
        </w:rPr>
      </w:pPr>
      <w:r>
        <w:rPr/>
      </w:r>
    </w:p>
    <w:sectPr>
      <w:headerReference w:type="default" r:id="rId2"/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4"/>
      <w:jc w:val="right"/>
      <w:rPr/>
    </w:pPr>
    <w:r>
      <w:rPr/>
    </w:r>
  </w:p>
  <w:p>
    <w:pPr>
      <w:pStyle w:val="Style24"/>
      <w:jc w:val="right"/>
      <w:rPr/>
    </w:pPr>
    <w:r>
      <w:rPr/>
    </w:r>
  </w:p>
  <w:p>
    <w:pPr>
      <w:pStyle w:val="Style24"/>
      <w:jc w:val="right"/>
      <w:rPr/>
    </w:pPr>
    <w:r>
      <w:rPr/>
      <w:t>ПРОЕКТ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69" w:hanging="360"/>
      </w:pPr>
    </w:lvl>
    <w:lvl w:ilvl="2">
      <w:start w:val="1"/>
      <w:numFmt w:val="decimal"/>
      <w:lvlText w:val="%1.%2.%3."/>
      <w:lvlJc w:val="left"/>
      <w:pPr>
        <w:ind w:left="1778" w:hanging="720"/>
      </w:pPr>
    </w:lvl>
    <w:lvl w:ilvl="3">
      <w:start w:val="1"/>
      <w:numFmt w:val="decimal"/>
      <w:lvlText w:val="%1.%2.%3.%4."/>
      <w:lvlJc w:val="left"/>
      <w:pPr>
        <w:ind w:left="2127" w:hanging="720"/>
      </w:pPr>
    </w:lvl>
    <w:lvl w:ilvl="4">
      <w:start w:val="1"/>
      <w:numFmt w:val="decimal"/>
      <w:lvlText w:val="%1.%2.%3.%4.%5."/>
      <w:lvlJc w:val="left"/>
      <w:pPr>
        <w:ind w:left="2836" w:hanging="1080"/>
      </w:pPr>
    </w:lvl>
    <w:lvl w:ilvl="5">
      <w:start w:val="1"/>
      <w:numFmt w:val="decimal"/>
      <w:lvlText w:val="%1.%2.%3.%4.%5.%6."/>
      <w:lvlJc w:val="left"/>
      <w:pPr>
        <w:ind w:left="3185" w:hanging="1080"/>
      </w:pPr>
    </w:lvl>
    <w:lvl w:ilvl="6">
      <w:start w:val="1"/>
      <w:numFmt w:val="decimal"/>
      <w:lvlText w:val="%1.%2.%3.%4.%5.%6.%7."/>
      <w:lvlJc w:val="left"/>
      <w:pPr>
        <w:ind w:left="3894" w:hanging="1440"/>
      </w:pPr>
    </w:lvl>
    <w:lvl w:ilvl="7">
      <w:start w:val="1"/>
      <w:numFmt w:val="decimal"/>
      <w:lvlText w:val="%1.%2.%3.%4.%5.%6.%7.%8."/>
      <w:lvlJc w:val="left"/>
      <w:pPr>
        <w:ind w:left="4243" w:hanging="1440"/>
      </w:pPr>
    </w:lvl>
    <w:lvl w:ilvl="8">
      <w:start w:val="1"/>
      <w:numFmt w:val="decimal"/>
      <w:lvlText w:val="%1.%2.%3.%4.%5.%6.%7.%8.%9."/>
      <w:lvlJc w:val="left"/>
      <w:pPr>
        <w:ind w:left="4952" w:hanging="180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82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f222dd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ar-S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9b3668"/>
    <w:rPr>
      <w:b/>
      <w:bCs/>
    </w:rPr>
  </w:style>
  <w:style w:type="character" w:styleId="Style14" w:customStyle="1">
    <w:name w:val="Верхний колонтитул Знак"/>
    <w:basedOn w:val="DefaultParagraphFont"/>
    <w:link w:val="aa"/>
    <w:uiPriority w:val="99"/>
    <w:qFormat/>
    <w:rsid w:val="009b4f2b"/>
    <w:rPr>
      <w:rFonts w:ascii="Times New Roman" w:hAnsi="Times New Roman" w:eastAsia="Times New Roman" w:cs="Times New Roman"/>
      <w:szCs w:val="20"/>
      <w:lang w:eastAsia="ar-SA"/>
    </w:rPr>
  </w:style>
  <w:style w:type="character" w:styleId="Style15" w:customStyle="1">
    <w:name w:val="Нижний колонтитул Знак"/>
    <w:basedOn w:val="DefaultParagraphFont"/>
    <w:link w:val="ac"/>
    <w:uiPriority w:val="99"/>
    <w:qFormat/>
    <w:rsid w:val="009b4f2b"/>
    <w:rPr>
      <w:rFonts w:ascii="Times New Roman" w:hAnsi="Times New Roman" w:eastAsia="Times New Roman" w:cs="Times New Roman"/>
      <w:szCs w:val="20"/>
      <w:lang w:eastAsia="ar-SA"/>
    </w:rPr>
  </w:style>
  <w:style w:type="character" w:styleId="Style16" w:customStyle="1">
    <w:name w:val="Текст выноски Знак"/>
    <w:basedOn w:val="DefaultParagraphFont"/>
    <w:link w:val="ae"/>
    <w:uiPriority w:val="99"/>
    <w:semiHidden/>
    <w:qFormat/>
    <w:rsid w:val="009b4f2b"/>
    <w:rPr>
      <w:rFonts w:ascii="Segoe UI" w:hAnsi="Segoe UI" w:eastAsia="Times New Roman" w:cs="Segoe UI"/>
      <w:sz w:val="18"/>
      <w:szCs w:val="18"/>
      <w:lang w:eastAsia="ar-SA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Ari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heading">
    <w:name w:val="index heading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f222dd"/>
    <w:pPr>
      <w:ind w:left="708" w:hanging="0"/>
      <w:jc w:val="both"/>
    </w:pPr>
    <w:rPr>
      <w:sz w:val="24"/>
      <w:szCs w:val="24"/>
    </w:rPr>
  </w:style>
  <w:style w:type="paragraph" w:styleId="Default" w:customStyle="1">
    <w:name w:val="Default"/>
    <w:qFormat/>
    <w:rsid w:val="00f222dd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val="ru-RU" w:eastAsia="ru-RU" w:bidi="ar-SA"/>
    </w:rPr>
  </w:style>
  <w:style w:type="paragraph" w:styleId="LOnormal" w:customStyle="1">
    <w:name w:val="LO-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Style23">
    <w:name w:val="Верхний и нижний колонтитулы"/>
    <w:basedOn w:val="Normal"/>
    <w:qFormat/>
    <w:pPr/>
    <w:rPr/>
  </w:style>
  <w:style w:type="paragraph" w:styleId="Style24">
    <w:name w:val="Header"/>
    <w:basedOn w:val="Normal"/>
    <w:link w:val="ab"/>
    <w:uiPriority w:val="99"/>
    <w:unhideWhenUsed/>
    <w:rsid w:val="009b4f2b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5">
    <w:name w:val="Footer"/>
    <w:basedOn w:val="Normal"/>
    <w:link w:val="ad"/>
    <w:uiPriority w:val="99"/>
    <w:unhideWhenUsed/>
    <w:rsid w:val="009b4f2b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alloonText">
    <w:name w:val="Balloon Text"/>
    <w:basedOn w:val="Normal"/>
    <w:link w:val="af"/>
    <w:uiPriority w:val="99"/>
    <w:semiHidden/>
    <w:unhideWhenUsed/>
    <w:qFormat/>
    <w:rsid w:val="009b4f2b"/>
    <w:pPr/>
    <w:rPr>
      <w:rFonts w:ascii="Segoe UI" w:hAnsi="Segoe UI" w:cs="Segoe UI"/>
      <w:sz w:val="18"/>
      <w:szCs w:val="18"/>
    </w:rPr>
  </w:style>
  <w:style w:type="paragraph" w:styleId="Revision">
    <w:name w:val="Revision"/>
    <w:uiPriority w:val="99"/>
    <w:semiHidden/>
    <w:qFormat/>
    <w:rsid w:val="006b5012"/>
    <w:pPr>
      <w:widowControl/>
      <w:suppressAutoHyphens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ar-SA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f1">
    <w:name w:val="Table Grid"/>
    <w:basedOn w:val="a1"/>
    <w:uiPriority w:val="59"/>
    <w:rsid w:val="00fb3268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3D4288-586C-480A-B309-08C878833E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Application>LibreOffice/6.4.2.2$Windows_X86_64 LibreOffice_project/4e471d8c02c9c90f512f7f9ead8875b57fcb1ec3</Application>
  <Pages>4</Pages>
  <Words>1229</Words>
  <Characters>8613</Characters>
  <CharactersWithSpaces>9735</CharactersWithSpaces>
  <Paragraphs>75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2021-06-18T16:18:00Z</dcterms:created>
  <dc:creator>1</dc:creator>
  <dc:description/>
  <dc:language>ru-RU</dc:language>
  <cp:lastModifiedBy/>
  <cp:lastPrinted>2021-06-21T09:22:59Z</cp:lastPrinted>
  <dcterms:modified xsi:type="dcterms:W3CDTF">2021-06-21T11:03:44Z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