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DE1DC9" w:rsidP="00BB7F7B">
      <w:pPr>
        <w:jc w:val="both"/>
        <w:rPr>
          <w:sz w:val="22"/>
          <w:szCs w:val="22"/>
        </w:rPr>
      </w:pPr>
      <w:r w:rsidRPr="00DE1DC9">
        <w:rPr>
          <w:bCs/>
          <w:sz w:val="22"/>
          <w:szCs w:val="22"/>
        </w:rPr>
        <w:t>Антонова Ульяна Ивановна</w:t>
      </w:r>
      <w:r w:rsidR="00BB7F7B" w:rsidRPr="00DE1DC9">
        <w:rPr>
          <w:sz w:val="22"/>
          <w:szCs w:val="22"/>
        </w:rPr>
        <w:t>,</w:t>
      </w:r>
      <w:r w:rsidR="00BB7F7B" w:rsidRPr="00DE1DC9">
        <w:rPr>
          <w:sz w:val="22"/>
          <w:szCs w:val="22"/>
        </w:rPr>
        <w:t xml:space="preserve">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Pr="00DE1DC9">
        <w:rPr>
          <w:color w:val="000000"/>
          <w:sz w:val="22"/>
          <w:szCs w:val="22"/>
        </w:rPr>
        <w:t>Новгородской области от 04.05.2021 по делу № А44-1000/2021</w:t>
      </w:r>
      <w:r>
        <w:rPr>
          <w:color w:val="000000"/>
          <w:sz w:val="22"/>
          <w:szCs w:val="22"/>
        </w:rPr>
        <w:t xml:space="preserve">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Ульян</w:t>
      </w:r>
      <w:r w:rsidR="00DE1DC9">
        <w:rPr>
          <w:bCs/>
          <w:sz w:val="22"/>
          <w:szCs w:val="22"/>
        </w:rPr>
        <w:t>ы</w:t>
      </w:r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DE1DC9" w:rsidRDefault="00DE1DC9" w:rsidP="00FD5054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DE1DC9">
              <w:rPr>
                <w:color w:val="000000"/>
                <w:sz w:val="22"/>
                <w:szCs w:val="22"/>
              </w:rPr>
              <w:t>земельный участок для сельскохозяйственного использования с кадастровым номером: 53:11:0200302:2492; общая долевая собственность -доля в праве – 1/3; расположенный по адресу: Новгородская область, Новгородский район, с/п Бронницкое; площадь: 80832 +/-2488; основание регистрации: Свидетельство о праве на наследство № 3035 П от 20.06.07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bCs/>
                <w:sz w:val="22"/>
                <w:szCs w:val="22"/>
              </w:rPr>
              <w:t>Антонова Ульяна Ивановна</w:t>
            </w:r>
            <w:r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>ИНН 531001090160/ СНИЛС 017-707-766-65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7824F0" w:rsidRPr="001230D4">
              <w:rPr>
                <w:sz w:val="22"/>
                <w:szCs w:val="22"/>
              </w:rPr>
              <w:t>173510, Новгородская обл., Новгородский р-н, с. Бронница, ул. Молодежная,5, кв.14</w:t>
            </w:r>
          </w:p>
          <w:p w:rsidR="00BB7F7B" w:rsidRPr="00611A1C" w:rsidRDefault="00611A1C" w:rsidP="00611A1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7824F0" w:rsidRPr="00DE1DC9">
              <w:rPr>
                <w:sz w:val="22"/>
                <w:szCs w:val="22"/>
              </w:rPr>
              <w:t>40817810643860933031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7824F0" w:rsidRPr="00DE1DC9">
              <w:rPr>
                <w:bCs/>
                <w:sz w:val="22"/>
                <w:szCs w:val="22"/>
              </w:rPr>
              <w:t>Антонова Ульяна Ивановна</w:t>
            </w:r>
            <w:bookmarkStart w:id="0" w:name="_GoBack"/>
            <w:bookmarkEnd w:id="0"/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B1" w:rsidRDefault="006332B1" w:rsidP="00101D1E">
      <w:r>
        <w:separator/>
      </w:r>
    </w:p>
  </w:endnote>
  <w:endnote w:type="continuationSeparator" w:id="0">
    <w:p w:rsidR="006332B1" w:rsidRDefault="006332B1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6332B1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24F0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6332B1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B1" w:rsidRDefault="006332B1" w:rsidP="00101D1E">
      <w:r>
        <w:separator/>
      </w:r>
    </w:p>
  </w:footnote>
  <w:footnote w:type="continuationSeparator" w:id="0">
    <w:p w:rsidR="006332B1" w:rsidRDefault="006332B1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212BFB"/>
    <w:rsid w:val="00611A1C"/>
    <w:rsid w:val="006332B1"/>
    <w:rsid w:val="00672C84"/>
    <w:rsid w:val="007824F0"/>
    <w:rsid w:val="009B4157"/>
    <w:rsid w:val="00A07B35"/>
    <w:rsid w:val="00BB7F7B"/>
    <w:rsid w:val="00C82091"/>
    <w:rsid w:val="00DE1DC9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709D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2021-11-07T14:38:00Z</dcterms:created>
  <dcterms:modified xsi:type="dcterms:W3CDTF">2021-11-07T14:38:00Z</dcterms:modified>
</cp:coreProperties>
</file>